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87911" w14:textId="77777777" w:rsidR="00945E3A" w:rsidRPr="007D3169" w:rsidRDefault="00945E3A" w:rsidP="00945E3A">
      <w:pPr>
        <w:pStyle w:val="Normaallaadveeb"/>
        <w:spacing w:before="150" w:beforeAutospacing="0" w:after="150" w:afterAutospacing="0" w:line="340" w:lineRule="atLeast"/>
        <w:jc w:val="both"/>
        <w:rPr>
          <w:color w:val="0070C0"/>
          <w:lang w:val="et-EE"/>
        </w:rPr>
      </w:pPr>
      <w:r w:rsidRPr="007D3169">
        <w:rPr>
          <w:rStyle w:val="Tugev"/>
          <w:color w:val="0070C0"/>
          <w:lang w:bidi="ru-RU"/>
        </w:rPr>
        <w:t>В дорожном движении с намерением</w:t>
      </w:r>
    </w:p>
    <w:p w14:paraId="17F9746B" w14:textId="77777777" w:rsidR="00945E3A" w:rsidRPr="007D3169" w:rsidRDefault="00945E3A" w:rsidP="00945E3A">
      <w:pPr>
        <w:pStyle w:val="Normaallaadveeb"/>
        <w:spacing w:before="0" w:beforeAutospacing="0" w:after="0" w:afterAutospacing="0" w:line="340" w:lineRule="atLeast"/>
        <w:jc w:val="both"/>
        <w:rPr>
          <w:rStyle w:val="Rhutus"/>
          <w:color w:val="222222"/>
          <w:lang w:val="et-EE"/>
        </w:rPr>
      </w:pPr>
      <w:r w:rsidRPr="007D3169">
        <w:rPr>
          <w:rStyle w:val="Rhutus"/>
          <w:color w:val="222222"/>
          <w:lang w:bidi="ru-RU"/>
        </w:rPr>
        <w:t>Текст: Кай Кууспалу и Сольвейг Эдази, отдел по превентивной работе Департамента шоссейных дорог</w:t>
      </w:r>
    </w:p>
    <w:p w14:paraId="57F3EE48" w14:textId="77777777" w:rsidR="00945E3A" w:rsidRPr="007D3169" w:rsidRDefault="00945E3A" w:rsidP="00945E3A">
      <w:pPr>
        <w:pStyle w:val="Normaallaadveeb"/>
        <w:spacing w:before="0" w:beforeAutospacing="0" w:after="0" w:afterAutospacing="0" w:line="340" w:lineRule="atLeast"/>
        <w:jc w:val="both"/>
        <w:rPr>
          <w:color w:val="222222"/>
          <w:lang w:val="et-EE"/>
        </w:rPr>
      </w:pPr>
    </w:p>
    <w:p w14:paraId="44092FF3" w14:textId="77777777" w:rsidR="00945E3A" w:rsidRPr="007D3169" w:rsidRDefault="00945E3A" w:rsidP="00945E3A">
      <w:pPr>
        <w:pStyle w:val="Normaallaadveeb"/>
        <w:spacing w:before="150" w:beforeAutospacing="0" w:after="150" w:afterAutospacing="0" w:line="340" w:lineRule="atLeast"/>
        <w:jc w:val="both"/>
        <w:rPr>
          <w:color w:val="222222"/>
          <w:lang w:val="et-EE"/>
        </w:rPr>
      </w:pPr>
      <w:r w:rsidRPr="007D3169">
        <w:rPr>
          <w:color w:val="222222"/>
          <w:lang w:bidi="ru-RU"/>
        </w:rPr>
        <w:t> Один из очень важных моментов в жизни ребенка — это момент, когда он переходит из детского сада в школу. С началом школьной жизни значительно меняется окружающая среда ребенка и возможности действовать — ребенок начинает больше участвовать в дорожном движении самостоятельно, у него появляется больше неожиданных выборов и он чаще принимает на себя ответственность.</w:t>
      </w:r>
    </w:p>
    <w:p w14:paraId="73D35577" w14:textId="77777777" w:rsidR="00865052" w:rsidRDefault="00945E3A" w:rsidP="00945E3A">
      <w:pPr>
        <w:pStyle w:val="Normaallaadveeb"/>
        <w:spacing w:before="150" w:beforeAutospacing="0" w:after="150" w:afterAutospacing="0" w:line="340" w:lineRule="atLeast"/>
        <w:jc w:val="both"/>
        <w:rPr>
          <w:color w:val="222222"/>
          <w:lang w:bidi="ru-RU"/>
        </w:rPr>
      </w:pPr>
      <w:r w:rsidRPr="007D3169">
        <w:rPr>
          <w:color w:val="222222"/>
          <w:lang w:bidi="ru-RU"/>
        </w:rPr>
        <w:t>В формировании поведения ребенка в дорожном движении ключевую роль играют родители и учителя. Наставления и пример взрослого в дорожном движении отражаются в поведении и позициях ребенка. В то же время следует учитывать, что ребенок видит и воспринимает мир дорожного движения иначе, чем мы: его органы чувств еще недостаточно развиты, его способность концентрироваться ниже, а процесс принятия решений медленнее. Дети имеют маленький рост, поэтому им труднее увидеть что-либо за припаркованными транспортными средствами, а водителям сложнее заметить их между машинами, летом — за живой изгородью, а зимой — за снежным валом.</w:t>
      </w:r>
    </w:p>
    <w:p w14:paraId="10036B0E" w14:textId="2FB2A792" w:rsidR="00945E3A" w:rsidRPr="007D3169" w:rsidRDefault="00945E3A" w:rsidP="00945E3A">
      <w:pPr>
        <w:pStyle w:val="Normaallaadveeb"/>
        <w:spacing w:before="0" w:beforeAutospacing="0" w:after="0" w:afterAutospacing="0" w:line="340" w:lineRule="atLeast"/>
        <w:jc w:val="both"/>
        <w:rPr>
          <w:color w:val="222222"/>
          <w:lang w:val="et-EE"/>
        </w:rPr>
      </w:pPr>
      <w:r w:rsidRPr="007D3169">
        <w:rPr>
          <w:color w:val="222222"/>
          <w:lang w:bidi="ru-RU"/>
        </w:rPr>
        <w:t>По оценке исследователей, поведение и реакции ребенка в условиях дорожного движения отличаются от поведения и реакций взрослого. Так же отличается и процесс замечания происходящего в дорожном движении. Детское восприятие развивается медленно. Лишь примерно в возрасте 7 лет дети начинают понимать сущность опасности. До этого им трудно понять, что их собственные действия могут быть опасными для их жизни. Абстрактное мышление становится им по силам только к 11 годам. Кроме того, внешние чувства, которые становятся доминирующими в более позднем возрасте — зрение и слух, находятся у детей только на стадии развития.</w:t>
      </w:r>
    </w:p>
    <w:p w14:paraId="6AA9118D" w14:textId="77777777" w:rsidR="00865052" w:rsidRDefault="00945E3A" w:rsidP="00945E3A">
      <w:pPr>
        <w:pStyle w:val="Normaallaadveeb"/>
        <w:spacing w:before="150" w:beforeAutospacing="0" w:after="150" w:afterAutospacing="0" w:line="340" w:lineRule="atLeast"/>
        <w:jc w:val="both"/>
        <w:rPr>
          <w:color w:val="222222"/>
          <w:lang w:bidi="ru-RU"/>
        </w:rPr>
      </w:pPr>
      <w:r w:rsidRPr="007D3169">
        <w:rPr>
          <w:color w:val="222222"/>
          <w:lang w:bidi="ru-RU"/>
        </w:rPr>
        <w:t> Ребенок не использует периферическое зрение, он учитывает только то, что он действительно хочет увидеть и что находится прямо перед ним, т. е. в центре поля зрения. Поэтому дети не видят, что происходит справа и слева от них, если там, конечно, ничто не привлечет их внимания. Зная, что дети еще импульсивные и имеют большую потребность в движении, в контексте дорожного движения это может значить, что именно приближающееся сбоку транспортное средство они могут заметить слишком поздно. Только в возрасте примерно 9 лет дети начинают лучше воспринимать расстояние до транспортного средства.</w:t>
      </w:r>
    </w:p>
    <w:p w14:paraId="12AEA000" w14:textId="0D82B6BC" w:rsidR="00945E3A" w:rsidRPr="007D3169" w:rsidRDefault="00945E3A" w:rsidP="00945E3A">
      <w:pPr>
        <w:pStyle w:val="Normaallaadveeb"/>
        <w:spacing w:before="0" w:beforeAutospacing="0" w:after="0" w:afterAutospacing="0" w:line="340" w:lineRule="atLeast"/>
        <w:jc w:val="both"/>
        <w:rPr>
          <w:color w:val="222222"/>
          <w:lang w:val="et-EE"/>
        </w:rPr>
      </w:pPr>
      <w:r w:rsidRPr="007D3169">
        <w:rPr>
          <w:color w:val="222222"/>
          <w:lang w:bidi="ru-RU"/>
        </w:rPr>
        <w:t xml:space="preserve">Хотя у детей и острый слух (они слышат звуки даже лучше, чем взрослые), им сложно определить направление звука. Например, более трети детей не могут определить, идет ли звук спереди или сзади, и более чем три четверти детей не могут определить, идет ли он слева или справа. В условиях дорожного движения это выражается в том, что дети </w:t>
      </w:r>
      <w:r w:rsidRPr="007D3169">
        <w:rPr>
          <w:color w:val="222222"/>
          <w:lang w:bidi="ru-RU"/>
        </w:rPr>
        <w:lastRenderedPageBreak/>
        <w:t>часто не могут уловить направление движения транспортного средства, подавшего сигнал.</w:t>
      </w:r>
    </w:p>
    <w:p w14:paraId="45362E78" w14:textId="77777777" w:rsidR="00865052" w:rsidRDefault="00945E3A" w:rsidP="00945E3A">
      <w:pPr>
        <w:pStyle w:val="Normaallaadveeb"/>
        <w:spacing w:before="0" w:beforeAutospacing="0" w:after="0" w:afterAutospacing="0" w:line="340" w:lineRule="atLeast"/>
        <w:rPr>
          <w:color w:val="222222"/>
          <w:lang w:bidi="ru-RU"/>
        </w:rPr>
      </w:pPr>
      <w:r w:rsidRPr="007D3169">
        <w:rPr>
          <w:color w:val="222222"/>
          <w:lang w:bidi="ru-RU"/>
        </w:rPr>
        <w:br/>
        <w:t>Даже время, которое понадобится маленькому ребенку и взрослому человеку, чтобы распознать, движется ли транспортное средство или стоит на месте, крайне различается. На странице Liiklus.ee можно найти информацию, из которой следует, что маленькому ребенку для того, чтобы отличить, движется транспортное средство или стоит на месте, требуется до 4 секунд, взрослому — всего лишь 0,25 секунды. Разница в 16 раз!</w:t>
      </w:r>
      <w:r w:rsidRPr="007D3169">
        <w:rPr>
          <w:color w:val="222222"/>
          <w:lang w:bidi="ru-RU"/>
        </w:rPr>
        <w:br/>
      </w:r>
    </w:p>
    <w:p w14:paraId="340720A2" w14:textId="77777777" w:rsidR="00865052" w:rsidRDefault="00945E3A" w:rsidP="00945E3A">
      <w:pPr>
        <w:pStyle w:val="Normaallaadveeb"/>
        <w:spacing w:before="150" w:beforeAutospacing="0" w:after="150" w:afterAutospacing="0" w:line="340" w:lineRule="atLeast"/>
        <w:rPr>
          <w:rStyle w:val="Tugev"/>
          <w:color w:val="0070C0"/>
          <w:lang w:bidi="ru-RU"/>
        </w:rPr>
      </w:pPr>
      <w:r w:rsidRPr="007D3169">
        <w:rPr>
          <w:rStyle w:val="Tugev"/>
          <w:color w:val="0070C0"/>
          <w:lang w:bidi="ru-RU"/>
        </w:rPr>
        <w:t>Связь между возрастом и восприятием ребенка</w:t>
      </w:r>
    </w:p>
    <w:p w14:paraId="7515298F" w14:textId="77777777" w:rsidR="00865052" w:rsidRDefault="00945E3A" w:rsidP="00945E3A">
      <w:pPr>
        <w:pStyle w:val="Normaallaadveeb"/>
        <w:spacing w:before="0" w:beforeAutospacing="0" w:after="0" w:afterAutospacing="0" w:line="340" w:lineRule="atLeast"/>
        <w:jc w:val="both"/>
        <w:rPr>
          <w:lang w:bidi="ru-RU"/>
        </w:rPr>
      </w:pPr>
      <w:r w:rsidRPr="007D3169">
        <w:rPr>
          <w:color w:val="222222"/>
          <w:lang w:bidi="ru-RU"/>
        </w:rPr>
        <w:t xml:space="preserve">Финский исследователь и психолог по дорожному движению Эско Кескинен исследовал роли, умение детей справляться с дорожным движением, а также основные проблемы в дорожном движении и связанные с ними факторы среди разных возрастных групп. В резюме его работы «Дети и молодые люди в дорожном движении — предпосылки развития и безопасность дорожного движения» описано содержание воспитания культуры дорожного движения, методы и возможности ребенка для изучения более безопасного поведения. Кроме того, в резюме изложены границы возможностей ребенка в обучении безопасным действиям в дорожном движении и применении изученного на практике. Эстонский перевод резюме исследования можно посмотреть здесь: </w:t>
      </w:r>
      <w:hyperlink r:id="rId7" w:history="1">
        <w:r w:rsidR="00524D81" w:rsidRPr="00BF3511">
          <w:rPr>
            <w:rStyle w:val="Hperlink"/>
            <w:lang w:bidi="ru-RU"/>
          </w:rPr>
          <w:t>https://www.liikluskasvatus.ee/et/opetajale/3/huvitav-ja-kasulik</w:t>
        </w:r>
      </w:hyperlink>
      <w:r w:rsidR="00524D81">
        <w:rPr>
          <w:lang w:bidi="ru-RU"/>
        </w:rPr>
        <w:t>.</w:t>
      </w:r>
    </w:p>
    <w:p w14:paraId="32AD488F" w14:textId="107BB681" w:rsidR="00945E3A" w:rsidRPr="007D3169" w:rsidRDefault="00945E3A" w:rsidP="00945E3A">
      <w:pPr>
        <w:pStyle w:val="Normaallaadveeb"/>
        <w:spacing w:before="150" w:beforeAutospacing="0" w:after="150" w:afterAutospacing="0" w:line="340" w:lineRule="atLeast"/>
        <w:jc w:val="both"/>
        <w:rPr>
          <w:color w:val="222222"/>
          <w:lang w:val="et-EE"/>
        </w:rPr>
      </w:pPr>
      <w:r w:rsidRPr="007D3169">
        <w:rPr>
          <w:color w:val="222222"/>
          <w:lang w:bidi="ru-RU"/>
        </w:rPr>
        <w:t xml:space="preserve">Исходя из исследования </w:t>
      </w:r>
      <w:proofErr w:type="spellStart"/>
      <w:r w:rsidRPr="007D3169">
        <w:rPr>
          <w:color w:val="222222"/>
          <w:lang w:bidi="ru-RU"/>
        </w:rPr>
        <w:t>Кескинена</w:t>
      </w:r>
      <w:proofErr w:type="spellEnd"/>
      <w:r w:rsidRPr="007D3169">
        <w:rPr>
          <w:color w:val="222222"/>
          <w:lang w:bidi="ru-RU"/>
        </w:rPr>
        <w:t xml:space="preserve">, ребенок 5-6 лет безопасно действует в дорожном движении только под присмотром и руководством взрослого, участвуя в дорожном движении как пешеход или всё чаще как велосипедист. За ребенка несет ответственность взрослый. Несмотря на то, что экзекьютивные, то есть исполнительные функции, начинают у ребенка только развиваться, у детей в возрасте 5-7 лет поле зрения по-прежнему больше направлено на правую сторону. Постепенно начинает развиваться способность контролировать импульсы, умение подавлять отвлекающие факторы и способность сознательно направлять внимание в желаемом направлении. Даже дети 8-9 лет при расчете риска аварии еще не способны связать скорость приближающегося транспортного средства с пройденным расстоянием. Функция кратковременной зрительной памяти достигает своего пика у детей в возрасте 11-12 лет, но более сложная визуальная рабочая память продолжает развиваться еще до 13-15 лет. У детей 6-10 лет способность направлять внимание на визуальный объект и переводить его на находящиеся по краям поля зрения стимулы почти не развивается. Считается, что способность маленьких детей управлять основанной на зрении, то есть визуально-пространственной ориентацией и умение направлять внимание на находящиеся по краям поля зрения (периферийные) объекты начинает развиваться в возрасте 3-6 месяцев. Кроме того, также подтверждено, что волеуправляемая внутренняя ориентация начинает </w:t>
      </w:r>
      <w:r w:rsidRPr="007D3169">
        <w:rPr>
          <w:color w:val="222222"/>
          <w:lang w:bidi="ru-RU"/>
        </w:rPr>
        <w:lastRenderedPageBreak/>
        <w:t>достигать уровня взрослых у детей в возрасте 8-10 лет. При обнаружении рисков важно, чтобы их замечали спонтанно и не только тогда, когда на них просят обратить внимание. Еще даже в возрасте 9-10 лет дети делают акцент на обнаружении рисков меньше, чем взрослые.</w:t>
      </w:r>
    </w:p>
    <w:p w14:paraId="3656F480" w14:textId="77777777" w:rsidR="00865052" w:rsidRDefault="00865052" w:rsidP="00945E3A">
      <w:pPr>
        <w:pStyle w:val="Normaallaadveeb"/>
        <w:spacing w:before="150" w:beforeAutospacing="0" w:after="150" w:afterAutospacing="0" w:line="340" w:lineRule="atLeast"/>
        <w:jc w:val="both"/>
        <w:rPr>
          <w:color w:val="222222"/>
          <w:lang w:bidi="ru-RU"/>
        </w:rPr>
      </w:pPr>
    </w:p>
    <w:p w14:paraId="7E38E039" w14:textId="47E843B7" w:rsidR="00945E3A" w:rsidRPr="007D3169" w:rsidRDefault="00945E3A" w:rsidP="00945E3A">
      <w:pPr>
        <w:pStyle w:val="Normaallaadveeb"/>
        <w:spacing w:before="0" w:beforeAutospacing="0" w:after="0" w:afterAutospacing="0" w:line="340" w:lineRule="atLeast"/>
        <w:jc w:val="both"/>
        <w:rPr>
          <w:color w:val="0070C0"/>
          <w:lang w:val="et-EE"/>
        </w:rPr>
      </w:pPr>
      <w:bookmarkStart w:id="0" w:name="_Hlk3664660"/>
      <w:bookmarkEnd w:id="0"/>
      <w:r w:rsidRPr="007D3169">
        <w:rPr>
          <w:rStyle w:val="Tugev"/>
          <w:color w:val="0070C0"/>
          <w:lang w:bidi="ru-RU"/>
        </w:rPr>
        <w:t>Как поддержать ребенка в понимании среды дорожного движения и других участников этой среды, как поддержать ребенка в умении справляться с дорожным движением?</w:t>
      </w:r>
    </w:p>
    <w:p w14:paraId="66FEE42A" w14:textId="77777777" w:rsidR="00945E3A" w:rsidRPr="007D3169" w:rsidRDefault="00945E3A" w:rsidP="00945E3A">
      <w:pPr>
        <w:pStyle w:val="Normaallaadveeb"/>
        <w:spacing w:before="150" w:beforeAutospacing="0" w:after="150" w:afterAutospacing="0" w:line="340" w:lineRule="atLeast"/>
        <w:jc w:val="both"/>
        <w:rPr>
          <w:color w:val="222222"/>
          <w:lang w:val="et-EE"/>
        </w:rPr>
      </w:pPr>
      <w:r w:rsidRPr="007D3169">
        <w:rPr>
          <w:color w:val="222222"/>
          <w:lang w:bidi="ru-RU"/>
        </w:rPr>
        <w:t>Сегодня участие в дорожном движении — наша повседневная потребность. Поскольку в дорожном движении участвуют и разделяют между собой среду дорожного движения очень разные участники — как пешеходы, так и велосипедисты, как мотоциклисты, так и водители, — становится важным умение учитывать друг друга. Это своего рода общение, при котором все участники дорожного движения получают важную для себя информацию посредством разных органов чувств, создавая безопасную, взаимно вежливую и учитывающую других участников атмосферу. В контексте уличного движения это означает большой поток информации, из которой мы должны уметь извлекать нужные для нас детали. Ребенку требуется на это время, что, в свою очередь, означает, что ему следует учитывать дополнительное время при планировании пути. Чтобы успешно справляться со средой дорожного движения, мы должны видеть, слышать, уметь реагировать и давать понять другим участникам о своих намерениях, мы также должны понимать или, если точнее, видеть ситуацию глазами других участников дорожного движения, мы должны быть терпеливыми и уметь управлять своими чувствами — то есть мы должны уметь делать всё то, что нам требуется в обычной жизни для успешного общения. Поэтому при подготовке ребенка к самостоятельному передвижению в среде дорожного движения важно целенаправленно развивать его внимание, органы чувств и восприятия при помощи игр, упражнений и постоянного поддерживающего руководства.</w:t>
      </w:r>
    </w:p>
    <w:p w14:paraId="40EEA320" w14:textId="77777777" w:rsidR="00865052" w:rsidRDefault="00865052" w:rsidP="00945E3A">
      <w:pPr>
        <w:pStyle w:val="Normaallaadveeb"/>
        <w:spacing w:before="150" w:beforeAutospacing="0" w:after="150" w:afterAutospacing="0" w:line="340" w:lineRule="atLeast"/>
        <w:jc w:val="both"/>
        <w:rPr>
          <w:color w:val="222222"/>
          <w:lang w:bidi="ru-RU"/>
        </w:rPr>
      </w:pPr>
    </w:p>
    <w:p w14:paraId="3C5A94C1" w14:textId="77777777" w:rsidR="00865052" w:rsidRDefault="00945E3A" w:rsidP="00945E3A">
      <w:pPr>
        <w:pStyle w:val="Normaallaadveeb"/>
        <w:spacing w:before="0" w:beforeAutospacing="0" w:after="0" w:afterAutospacing="0" w:line="340" w:lineRule="atLeast"/>
        <w:jc w:val="both"/>
        <w:rPr>
          <w:rStyle w:val="Tugev"/>
          <w:color w:val="0070C0"/>
          <w:lang w:bidi="ru-RU"/>
        </w:rPr>
      </w:pPr>
      <w:r w:rsidRPr="007D3169">
        <w:rPr>
          <w:rStyle w:val="Tugev"/>
          <w:color w:val="0070C0"/>
          <w:lang w:bidi="ru-RU"/>
        </w:rPr>
        <w:t>Вежливость в дорожном движении</w:t>
      </w:r>
    </w:p>
    <w:p w14:paraId="502B11CB" w14:textId="1CB3E4BB" w:rsidR="00945E3A" w:rsidRPr="007D3169" w:rsidRDefault="00945E3A" w:rsidP="00945E3A">
      <w:pPr>
        <w:pStyle w:val="Normaallaadveeb"/>
        <w:spacing w:before="0" w:beforeAutospacing="0" w:after="0" w:afterAutospacing="0" w:line="340" w:lineRule="atLeast"/>
        <w:jc w:val="both"/>
        <w:rPr>
          <w:color w:val="222222"/>
          <w:lang w:val="et-EE"/>
        </w:rPr>
      </w:pPr>
      <w:r w:rsidRPr="007D3169">
        <w:rPr>
          <w:color w:val="222222"/>
          <w:lang w:bidi="ru-RU"/>
        </w:rPr>
        <w:t>Мы учим детей, что вежливые люди здороваются друг с другом при встрече. В дорожном движении высказанное громким голосом «Здравствуйте!» заменяется зрительным контактом, который помогает понять, заметил ли нас другой участник дорожного движения и понял ли он наши намерения. Взрослому человеку легко установить зрительный контакт с другими участниками дорожного движения, так сказать, на ходу, но то, что кажется легким для взрослого, может создать трудности для ребенка. Особенно важно установить зрительный контакт тогда, когда дороги участников дорожного движения пересекаются, в случае ребенка — прежде всего при переходе дороги.</w:t>
      </w:r>
    </w:p>
    <w:p w14:paraId="1DF4C730" w14:textId="77777777" w:rsidR="00865052" w:rsidRDefault="00865052" w:rsidP="00945E3A">
      <w:pPr>
        <w:pStyle w:val="Normaallaadveeb"/>
        <w:spacing w:before="150" w:beforeAutospacing="0" w:after="150" w:afterAutospacing="0" w:line="340" w:lineRule="atLeast"/>
        <w:jc w:val="both"/>
        <w:rPr>
          <w:color w:val="222222"/>
          <w:lang w:bidi="ru-RU"/>
        </w:rPr>
      </w:pPr>
    </w:p>
    <w:p w14:paraId="51ECBC5F" w14:textId="7A097A24" w:rsidR="00945E3A" w:rsidRPr="007D3169" w:rsidRDefault="00945E3A" w:rsidP="00945E3A">
      <w:pPr>
        <w:pStyle w:val="Normaallaadveeb"/>
        <w:spacing w:before="0" w:beforeAutospacing="0" w:after="0" w:afterAutospacing="0" w:line="340" w:lineRule="atLeast"/>
        <w:jc w:val="both"/>
        <w:rPr>
          <w:color w:val="0070C0"/>
          <w:lang w:val="et-EE"/>
        </w:rPr>
      </w:pPr>
      <w:r w:rsidRPr="007D3169">
        <w:rPr>
          <w:rStyle w:val="Tugev"/>
          <w:color w:val="0070C0"/>
          <w:lang w:bidi="ru-RU"/>
        </w:rPr>
        <w:t>Переход дороги</w:t>
      </w:r>
    </w:p>
    <w:p w14:paraId="020367E6" w14:textId="77777777" w:rsidR="00945E3A" w:rsidRPr="007D3169" w:rsidRDefault="00945E3A" w:rsidP="00945E3A">
      <w:pPr>
        <w:pStyle w:val="Normaallaadveeb"/>
        <w:spacing w:before="150" w:beforeAutospacing="0" w:after="150" w:afterAutospacing="0" w:line="340" w:lineRule="atLeast"/>
        <w:jc w:val="both"/>
        <w:rPr>
          <w:color w:val="222222"/>
          <w:lang w:val="et-EE"/>
        </w:rPr>
      </w:pPr>
      <w:r w:rsidRPr="007D3169">
        <w:rPr>
          <w:color w:val="222222"/>
          <w:lang w:bidi="ru-RU"/>
        </w:rPr>
        <w:t> Все мы знаем, что перед тем, как выйти на проезжую часть, важно посмотреть, едут ли машины слева или справа. Но как часто мы учим детей тому, что перед тем, как ступить на проезжую часть дороги, нужно прежде всего остановиться? Учитывая специфику развития ребенка, именно эта информация является для него жизненно необходимой — остановится, чтобы перед тем, как ступить на проезжую часть, осмотреться, осмыслить увиденное, прислушаться к звукам и определить их направление, их нарастание и затихание, оценить опасность и убедиться в безопасности. Датский исследователь Хью Фут дал советы относительно необходимых для успешного перехода дороги действий, психологических процессов и возраста.</w:t>
      </w:r>
    </w:p>
    <w:p w14:paraId="57B59ECC" w14:textId="77777777" w:rsidR="00945E3A" w:rsidRPr="007D3169" w:rsidRDefault="00945E3A" w:rsidP="00945E3A">
      <w:pPr>
        <w:pStyle w:val="Normaallaadveeb"/>
        <w:spacing w:before="150" w:beforeAutospacing="0" w:after="150" w:afterAutospacing="0" w:line="340" w:lineRule="atLeast"/>
        <w:jc w:val="both"/>
        <w:rPr>
          <w:color w:val="222222"/>
          <w:lang w:val="et-EE"/>
        </w:rPr>
      </w:pPr>
      <w:r w:rsidRPr="007D3169">
        <w:rPr>
          <w:color w:val="222222"/>
          <w:lang w:bidi="ru-RU"/>
        </w:rPr>
        <w:t> </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45E3A" w:rsidRPr="007D3169" w14:paraId="15E74DB5" w14:textId="77777777" w:rsidTr="00945E3A">
        <w:tc>
          <w:tcPr>
            <w:tcW w:w="3005" w:type="dxa"/>
          </w:tcPr>
          <w:p w14:paraId="6D99D372" w14:textId="77777777" w:rsidR="00945E3A" w:rsidRPr="007D3169" w:rsidRDefault="00945E3A" w:rsidP="00945E3A">
            <w:pPr>
              <w:jc w:val="both"/>
              <w:rPr>
                <w:rFonts w:ascii="Times New Roman" w:hAnsi="Times New Roman" w:cs="Times New Roman"/>
                <w:b/>
                <w:sz w:val="24"/>
                <w:szCs w:val="24"/>
                <w:lang w:val="et-EE"/>
              </w:rPr>
            </w:pPr>
            <w:r w:rsidRPr="007D3169">
              <w:rPr>
                <w:rFonts w:ascii="Times New Roman" w:eastAsia="Times New Roman" w:hAnsi="Times New Roman" w:cs="Times New Roman"/>
                <w:b/>
                <w:sz w:val="24"/>
                <w:szCs w:val="24"/>
                <w:lang w:bidi="ru-RU"/>
              </w:rPr>
              <w:t>Действие</w:t>
            </w:r>
          </w:p>
        </w:tc>
        <w:tc>
          <w:tcPr>
            <w:tcW w:w="3005" w:type="dxa"/>
          </w:tcPr>
          <w:p w14:paraId="4151BD5E" w14:textId="77777777" w:rsidR="00945E3A" w:rsidRPr="007D3169" w:rsidRDefault="00945E3A" w:rsidP="00945E3A">
            <w:pPr>
              <w:jc w:val="both"/>
              <w:rPr>
                <w:rFonts w:ascii="Times New Roman" w:hAnsi="Times New Roman" w:cs="Times New Roman"/>
                <w:b/>
                <w:sz w:val="24"/>
                <w:szCs w:val="24"/>
                <w:lang w:val="et-EE"/>
              </w:rPr>
            </w:pPr>
            <w:r w:rsidRPr="007D3169">
              <w:rPr>
                <w:rFonts w:ascii="Times New Roman" w:eastAsia="Times New Roman" w:hAnsi="Times New Roman" w:cs="Times New Roman"/>
                <w:b/>
                <w:sz w:val="24"/>
                <w:szCs w:val="24"/>
                <w:lang w:bidi="ru-RU"/>
              </w:rPr>
              <w:t>Психологический процесс</w:t>
            </w:r>
          </w:p>
        </w:tc>
        <w:tc>
          <w:tcPr>
            <w:tcW w:w="3006" w:type="dxa"/>
          </w:tcPr>
          <w:p w14:paraId="77DA89D9" w14:textId="77777777" w:rsidR="00945E3A" w:rsidRPr="007D3169" w:rsidRDefault="00945E3A" w:rsidP="00945E3A">
            <w:pPr>
              <w:jc w:val="both"/>
              <w:rPr>
                <w:rFonts w:ascii="Times New Roman" w:hAnsi="Times New Roman" w:cs="Times New Roman"/>
                <w:b/>
                <w:sz w:val="24"/>
                <w:szCs w:val="24"/>
                <w:lang w:val="et-EE"/>
              </w:rPr>
            </w:pPr>
            <w:r w:rsidRPr="007D3169">
              <w:rPr>
                <w:rFonts w:ascii="Times New Roman" w:eastAsia="Times New Roman" w:hAnsi="Times New Roman" w:cs="Times New Roman"/>
                <w:b/>
                <w:sz w:val="24"/>
                <w:szCs w:val="24"/>
                <w:lang w:bidi="ru-RU"/>
              </w:rPr>
              <w:t>Возраст</w:t>
            </w:r>
          </w:p>
        </w:tc>
      </w:tr>
      <w:tr w:rsidR="00945E3A" w:rsidRPr="007D3169" w14:paraId="758AE9C0" w14:textId="77777777" w:rsidTr="00945E3A">
        <w:tc>
          <w:tcPr>
            <w:tcW w:w="3005" w:type="dxa"/>
          </w:tcPr>
          <w:p w14:paraId="659CE69A"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Способность заметить других участников дорожного движения</w:t>
            </w:r>
          </w:p>
        </w:tc>
        <w:tc>
          <w:tcPr>
            <w:tcW w:w="3005" w:type="dxa"/>
          </w:tcPr>
          <w:p w14:paraId="4F479795"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Визуальный осмотр окрестностей, чтобы понять, куда двигается (или начинает двигаться) участник дорожного движения; отличие важных вещей от неважных.</w:t>
            </w:r>
          </w:p>
        </w:tc>
        <w:tc>
          <w:tcPr>
            <w:tcW w:w="3006" w:type="dxa"/>
          </w:tcPr>
          <w:p w14:paraId="088F0FB7"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У 50% детей в возрасте 4–14 лет отсутствуют достаточные навыки для этого действия.</w:t>
            </w:r>
          </w:p>
          <w:p w14:paraId="735A9820" w14:textId="77777777" w:rsidR="00945E3A" w:rsidRPr="007D3169" w:rsidRDefault="00945E3A" w:rsidP="00945E3A">
            <w:pPr>
              <w:rPr>
                <w:rFonts w:ascii="Times New Roman" w:hAnsi="Times New Roman" w:cs="Times New Roman"/>
                <w:sz w:val="24"/>
                <w:szCs w:val="24"/>
                <w:lang w:val="et-EE"/>
              </w:rPr>
            </w:pPr>
          </w:p>
        </w:tc>
      </w:tr>
      <w:tr w:rsidR="00945E3A" w:rsidRPr="007D3169" w14:paraId="38CD9055" w14:textId="77777777" w:rsidTr="00945E3A">
        <w:tc>
          <w:tcPr>
            <w:tcW w:w="3005" w:type="dxa"/>
          </w:tcPr>
          <w:p w14:paraId="6D365AC4" w14:textId="77777777" w:rsidR="00945E3A" w:rsidRPr="007D3169" w:rsidRDefault="00945E3A" w:rsidP="00945E3A">
            <w:pPr>
              <w:rPr>
                <w:rFonts w:ascii="Times New Roman" w:hAnsi="Times New Roman" w:cs="Times New Roman"/>
                <w:sz w:val="24"/>
                <w:szCs w:val="24"/>
                <w:lang w:val="et-EE"/>
              </w:rPr>
            </w:pPr>
          </w:p>
        </w:tc>
        <w:tc>
          <w:tcPr>
            <w:tcW w:w="3005" w:type="dxa"/>
          </w:tcPr>
          <w:p w14:paraId="59450052" w14:textId="77777777" w:rsidR="00945E3A" w:rsidRPr="007D3169" w:rsidRDefault="00945E3A" w:rsidP="00945E3A">
            <w:pPr>
              <w:rPr>
                <w:rFonts w:ascii="Times New Roman" w:hAnsi="Times New Roman" w:cs="Times New Roman"/>
                <w:sz w:val="24"/>
                <w:szCs w:val="24"/>
                <w:lang w:val="et-EE"/>
              </w:rPr>
            </w:pPr>
          </w:p>
        </w:tc>
        <w:tc>
          <w:tcPr>
            <w:tcW w:w="3006" w:type="dxa"/>
          </w:tcPr>
          <w:p w14:paraId="472A3204" w14:textId="77777777" w:rsidR="00945E3A" w:rsidRPr="007D3169" w:rsidRDefault="00945E3A" w:rsidP="00945E3A">
            <w:pPr>
              <w:rPr>
                <w:rFonts w:ascii="Times New Roman" w:hAnsi="Times New Roman" w:cs="Times New Roman"/>
                <w:sz w:val="24"/>
                <w:szCs w:val="24"/>
                <w:lang w:val="et-EE"/>
              </w:rPr>
            </w:pPr>
          </w:p>
        </w:tc>
      </w:tr>
      <w:tr w:rsidR="00945E3A" w:rsidRPr="007D3169" w14:paraId="16A95B18" w14:textId="77777777" w:rsidTr="00945E3A">
        <w:tc>
          <w:tcPr>
            <w:tcW w:w="3005" w:type="dxa"/>
          </w:tcPr>
          <w:p w14:paraId="4126CE4B" w14:textId="77777777" w:rsidR="00945E3A" w:rsidRPr="007D3169" w:rsidRDefault="00524D81" w:rsidP="00945E3A">
            <w:pPr>
              <w:rPr>
                <w:rFonts w:ascii="Times New Roman" w:hAnsi="Times New Roman" w:cs="Times New Roman"/>
                <w:sz w:val="24"/>
                <w:szCs w:val="24"/>
                <w:lang w:val="et-EE"/>
              </w:rPr>
            </w:pPr>
            <w:r w:rsidRPr="00524D81">
              <w:rPr>
                <w:rFonts w:ascii="Times New Roman" w:eastAsia="Times New Roman" w:hAnsi="Times New Roman" w:cs="Times New Roman"/>
                <w:sz w:val="24"/>
                <w:szCs w:val="24"/>
                <w:lang w:bidi="ru-RU"/>
              </w:rPr>
              <w:t>Умение оценить безопасность при пересечении проезжей части</w:t>
            </w:r>
          </w:p>
        </w:tc>
        <w:tc>
          <w:tcPr>
            <w:tcW w:w="3005" w:type="dxa"/>
          </w:tcPr>
          <w:p w14:paraId="08C4DCAE"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Знание причин опасных дорожных ситуаций и умение сконцентрироваться.</w:t>
            </w:r>
          </w:p>
        </w:tc>
        <w:tc>
          <w:tcPr>
            <w:tcW w:w="3006" w:type="dxa"/>
          </w:tcPr>
          <w:p w14:paraId="0352B2FE"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Недостаточный навык среди детей до 9 лет.</w:t>
            </w:r>
          </w:p>
        </w:tc>
      </w:tr>
      <w:tr w:rsidR="00945E3A" w:rsidRPr="007D3169" w14:paraId="2FD189E0" w14:textId="77777777" w:rsidTr="00945E3A">
        <w:tc>
          <w:tcPr>
            <w:tcW w:w="3005" w:type="dxa"/>
          </w:tcPr>
          <w:p w14:paraId="7A1870A0" w14:textId="77777777" w:rsidR="00945E3A" w:rsidRPr="007D3169" w:rsidRDefault="00945E3A" w:rsidP="00945E3A">
            <w:pPr>
              <w:rPr>
                <w:rFonts w:ascii="Times New Roman" w:hAnsi="Times New Roman" w:cs="Times New Roman"/>
                <w:sz w:val="24"/>
                <w:szCs w:val="24"/>
                <w:lang w:val="et-EE"/>
              </w:rPr>
            </w:pPr>
          </w:p>
        </w:tc>
        <w:tc>
          <w:tcPr>
            <w:tcW w:w="3005" w:type="dxa"/>
          </w:tcPr>
          <w:p w14:paraId="16A590DB" w14:textId="77777777" w:rsidR="00945E3A" w:rsidRPr="007D3169" w:rsidRDefault="00945E3A" w:rsidP="00945E3A">
            <w:pPr>
              <w:rPr>
                <w:rFonts w:ascii="Times New Roman" w:hAnsi="Times New Roman" w:cs="Times New Roman"/>
                <w:sz w:val="24"/>
                <w:szCs w:val="24"/>
                <w:lang w:val="et-EE"/>
              </w:rPr>
            </w:pPr>
          </w:p>
        </w:tc>
        <w:tc>
          <w:tcPr>
            <w:tcW w:w="3006" w:type="dxa"/>
          </w:tcPr>
          <w:p w14:paraId="68B2D63B" w14:textId="77777777" w:rsidR="00945E3A" w:rsidRPr="007D3169" w:rsidRDefault="00945E3A" w:rsidP="00945E3A">
            <w:pPr>
              <w:rPr>
                <w:rFonts w:ascii="Times New Roman" w:hAnsi="Times New Roman" w:cs="Times New Roman"/>
                <w:sz w:val="24"/>
                <w:szCs w:val="24"/>
                <w:lang w:val="et-EE"/>
              </w:rPr>
            </w:pPr>
          </w:p>
        </w:tc>
      </w:tr>
      <w:tr w:rsidR="00945E3A" w:rsidRPr="007D3169" w14:paraId="3ADFF8D7" w14:textId="77777777" w:rsidTr="00945E3A">
        <w:tc>
          <w:tcPr>
            <w:tcW w:w="3005" w:type="dxa"/>
          </w:tcPr>
          <w:p w14:paraId="14A31432"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Распределение внимания и сосредоточение</w:t>
            </w:r>
          </w:p>
        </w:tc>
        <w:tc>
          <w:tcPr>
            <w:tcW w:w="3005" w:type="dxa"/>
          </w:tcPr>
          <w:p w14:paraId="4F4A7005"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Оценка возможности столкновений, оценка расстояния и скорости других участников дорожного движения, слежение за ускорением и замедлением и их оценка.</w:t>
            </w:r>
          </w:p>
        </w:tc>
        <w:tc>
          <w:tcPr>
            <w:tcW w:w="3006" w:type="dxa"/>
          </w:tcPr>
          <w:p w14:paraId="75B84FF2"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Улучшается с возрастом.</w:t>
            </w:r>
          </w:p>
        </w:tc>
      </w:tr>
      <w:tr w:rsidR="00945E3A" w:rsidRPr="007D3169" w14:paraId="2F661A15" w14:textId="77777777" w:rsidTr="00945E3A">
        <w:tc>
          <w:tcPr>
            <w:tcW w:w="3005" w:type="dxa"/>
          </w:tcPr>
          <w:p w14:paraId="3D5A28BF" w14:textId="77777777" w:rsidR="00945E3A" w:rsidRPr="007D3169" w:rsidRDefault="00945E3A" w:rsidP="00945E3A">
            <w:pPr>
              <w:rPr>
                <w:rFonts w:ascii="Times New Roman" w:hAnsi="Times New Roman" w:cs="Times New Roman"/>
                <w:sz w:val="24"/>
                <w:szCs w:val="24"/>
                <w:lang w:val="et-EE"/>
              </w:rPr>
            </w:pPr>
          </w:p>
        </w:tc>
        <w:tc>
          <w:tcPr>
            <w:tcW w:w="3005" w:type="dxa"/>
          </w:tcPr>
          <w:p w14:paraId="46D9FCA8" w14:textId="77777777" w:rsidR="00945E3A" w:rsidRPr="007D3169" w:rsidRDefault="00945E3A" w:rsidP="00945E3A">
            <w:pPr>
              <w:rPr>
                <w:rFonts w:ascii="Times New Roman" w:hAnsi="Times New Roman" w:cs="Times New Roman"/>
                <w:sz w:val="24"/>
                <w:szCs w:val="24"/>
                <w:lang w:val="et-EE"/>
              </w:rPr>
            </w:pPr>
          </w:p>
        </w:tc>
        <w:tc>
          <w:tcPr>
            <w:tcW w:w="3006" w:type="dxa"/>
          </w:tcPr>
          <w:p w14:paraId="33BE87A2" w14:textId="77777777" w:rsidR="00945E3A" w:rsidRPr="007D3169" w:rsidRDefault="00945E3A" w:rsidP="00945E3A">
            <w:pPr>
              <w:rPr>
                <w:rFonts w:ascii="Times New Roman" w:hAnsi="Times New Roman" w:cs="Times New Roman"/>
                <w:sz w:val="24"/>
                <w:szCs w:val="24"/>
                <w:lang w:val="et-EE"/>
              </w:rPr>
            </w:pPr>
          </w:p>
        </w:tc>
      </w:tr>
      <w:tr w:rsidR="00945E3A" w:rsidRPr="007D3169" w14:paraId="3F523D3B" w14:textId="77777777" w:rsidTr="00945E3A">
        <w:tc>
          <w:tcPr>
            <w:tcW w:w="3005" w:type="dxa"/>
          </w:tcPr>
          <w:p w14:paraId="7B03755C"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Оценка информации в определенном контексте</w:t>
            </w:r>
          </w:p>
        </w:tc>
        <w:tc>
          <w:tcPr>
            <w:tcW w:w="3005" w:type="dxa"/>
          </w:tcPr>
          <w:p w14:paraId="4EBA538A"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Слежение за различными причинами опасности, анализ связей между различными полями зрения, обработка информации, контроль импульсов.</w:t>
            </w:r>
          </w:p>
        </w:tc>
        <w:tc>
          <w:tcPr>
            <w:tcW w:w="3006" w:type="dxa"/>
          </w:tcPr>
          <w:p w14:paraId="5D23BE8E"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Очень низкий навык у детей младше 7 лет. Мальчики более импульсивны.</w:t>
            </w:r>
          </w:p>
        </w:tc>
      </w:tr>
      <w:tr w:rsidR="00945E3A" w:rsidRPr="007D3169" w14:paraId="45382A10" w14:textId="77777777" w:rsidTr="00945E3A">
        <w:tc>
          <w:tcPr>
            <w:tcW w:w="3005" w:type="dxa"/>
          </w:tcPr>
          <w:p w14:paraId="5103CCA3" w14:textId="77777777" w:rsidR="00945E3A" w:rsidRPr="007D3169" w:rsidRDefault="00945E3A" w:rsidP="00945E3A">
            <w:pPr>
              <w:rPr>
                <w:rFonts w:ascii="Times New Roman" w:hAnsi="Times New Roman" w:cs="Times New Roman"/>
                <w:sz w:val="24"/>
                <w:szCs w:val="24"/>
                <w:lang w:val="et-EE"/>
              </w:rPr>
            </w:pPr>
          </w:p>
        </w:tc>
        <w:tc>
          <w:tcPr>
            <w:tcW w:w="3005" w:type="dxa"/>
          </w:tcPr>
          <w:p w14:paraId="19CE58A4" w14:textId="77777777" w:rsidR="00945E3A" w:rsidRPr="007D3169" w:rsidRDefault="00945E3A" w:rsidP="00945E3A">
            <w:pPr>
              <w:rPr>
                <w:rFonts w:ascii="Times New Roman" w:hAnsi="Times New Roman" w:cs="Times New Roman"/>
                <w:sz w:val="24"/>
                <w:szCs w:val="24"/>
                <w:lang w:val="et-EE"/>
              </w:rPr>
            </w:pPr>
          </w:p>
        </w:tc>
        <w:tc>
          <w:tcPr>
            <w:tcW w:w="3006" w:type="dxa"/>
          </w:tcPr>
          <w:p w14:paraId="1C2B53BD" w14:textId="77777777" w:rsidR="00945E3A" w:rsidRPr="007D3169" w:rsidRDefault="00945E3A" w:rsidP="00945E3A">
            <w:pPr>
              <w:rPr>
                <w:rFonts w:ascii="Times New Roman" w:hAnsi="Times New Roman" w:cs="Times New Roman"/>
                <w:sz w:val="24"/>
                <w:szCs w:val="24"/>
                <w:lang w:val="et-EE"/>
              </w:rPr>
            </w:pPr>
          </w:p>
        </w:tc>
      </w:tr>
      <w:tr w:rsidR="00945E3A" w:rsidRPr="007D3169" w14:paraId="2B77BF25" w14:textId="77777777" w:rsidTr="00945E3A">
        <w:tc>
          <w:tcPr>
            <w:tcW w:w="3005" w:type="dxa"/>
          </w:tcPr>
          <w:p w14:paraId="16B28EB1"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lastRenderedPageBreak/>
              <w:t>Согласование слежения и действия</w:t>
            </w:r>
          </w:p>
        </w:tc>
        <w:tc>
          <w:tcPr>
            <w:tcW w:w="3005" w:type="dxa"/>
          </w:tcPr>
          <w:p w14:paraId="5B18DED6"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Решение, достаточно ли времени, чтобы перейти дорогу, учитывая свою максимальную скорость движения.</w:t>
            </w:r>
          </w:p>
        </w:tc>
        <w:tc>
          <w:tcPr>
            <w:tcW w:w="3006" w:type="dxa"/>
          </w:tcPr>
          <w:p w14:paraId="64299CF8"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Информация о возрасте отсутствует.</w:t>
            </w:r>
          </w:p>
        </w:tc>
      </w:tr>
      <w:tr w:rsidR="00945E3A" w:rsidRPr="007D3169" w14:paraId="63BEE1B9" w14:textId="77777777" w:rsidTr="00945E3A">
        <w:tc>
          <w:tcPr>
            <w:tcW w:w="3005" w:type="dxa"/>
          </w:tcPr>
          <w:p w14:paraId="2BECBB3F" w14:textId="77777777" w:rsidR="00945E3A" w:rsidRPr="007D3169" w:rsidRDefault="00945E3A" w:rsidP="00945E3A">
            <w:pPr>
              <w:rPr>
                <w:rFonts w:ascii="Times New Roman" w:hAnsi="Times New Roman" w:cs="Times New Roman"/>
                <w:sz w:val="24"/>
                <w:szCs w:val="24"/>
                <w:lang w:val="et-EE"/>
              </w:rPr>
            </w:pPr>
          </w:p>
        </w:tc>
        <w:tc>
          <w:tcPr>
            <w:tcW w:w="3005" w:type="dxa"/>
          </w:tcPr>
          <w:p w14:paraId="33D81A55" w14:textId="77777777" w:rsidR="00945E3A" w:rsidRPr="007D3169" w:rsidRDefault="00945E3A" w:rsidP="00945E3A">
            <w:pPr>
              <w:rPr>
                <w:rFonts w:ascii="Times New Roman" w:hAnsi="Times New Roman" w:cs="Times New Roman"/>
                <w:sz w:val="24"/>
                <w:szCs w:val="24"/>
                <w:lang w:val="et-EE"/>
              </w:rPr>
            </w:pPr>
          </w:p>
        </w:tc>
        <w:tc>
          <w:tcPr>
            <w:tcW w:w="3006" w:type="dxa"/>
          </w:tcPr>
          <w:p w14:paraId="0476FC6F" w14:textId="77777777" w:rsidR="00945E3A" w:rsidRPr="007D3169" w:rsidRDefault="00945E3A" w:rsidP="00945E3A">
            <w:pPr>
              <w:rPr>
                <w:rFonts w:ascii="Times New Roman" w:hAnsi="Times New Roman" w:cs="Times New Roman"/>
                <w:sz w:val="24"/>
                <w:szCs w:val="24"/>
                <w:lang w:val="et-EE"/>
              </w:rPr>
            </w:pPr>
          </w:p>
        </w:tc>
      </w:tr>
      <w:tr w:rsidR="00945E3A" w:rsidRPr="007D3169" w14:paraId="2D834AB2" w14:textId="77777777" w:rsidTr="00945E3A">
        <w:tc>
          <w:tcPr>
            <w:tcW w:w="3005" w:type="dxa"/>
          </w:tcPr>
          <w:p w14:paraId="2CE66746"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Чувство ответственности</w:t>
            </w:r>
          </w:p>
        </w:tc>
        <w:tc>
          <w:tcPr>
            <w:tcW w:w="3005" w:type="dxa"/>
          </w:tcPr>
          <w:p w14:paraId="1E14C5F1"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Осознание последствий ошибки.</w:t>
            </w:r>
          </w:p>
        </w:tc>
        <w:tc>
          <w:tcPr>
            <w:tcW w:w="3006" w:type="dxa"/>
          </w:tcPr>
          <w:p w14:paraId="1DFA7C67" w14:textId="77777777" w:rsidR="00945E3A" w:rsidRPr="007D3169" w:rsidRDefault="00945E3A" w:rsidP="00945E3A">
            <w:pPr>
              <w:rPr>
                <w:rFonts w:ascii="Times New Roman" w:hAnsi="Times New Roman" w:cs="Times New Roman"/>
                <w:sz w:val="24"/>
                <w:szCs w:val="24"/>
                <w:lang w:val="et-EE"/>
              </w:rPr>
            </w:pPr>
            <w:r w:rsidRPr="007D3169">
              <w:rPr>
                <w:rFonts w:ascii="Times New Roman" w:eastAsia="Times New Roman" w:hAnsi="Times New Roman" w:cs="Times New Roman"/>
                <w:sz w:val="24"/>
                <w:szCs w:val="24"/>
                <w:lang w:bidi="ru-RU"/>
              </w:rPr>
              <w:t>Дети до 14 лет: только 50% считают поведение плохим, если оно причиняет реальный вред.</w:t>
            </w:r>
          </w:p>
        </w:tc>
      </w:tr>
    </w:tbl>
    <w:p w14:paraId="20D548E3" w14:textId="77777777" w:rsidR="00E96144" w:rsidRPr="007D3169" w:rsidRDefault="00E96144" w:rsidP="00945E3A">
      <w:pPr>
        <w:jc w:val="both"/>
        <w:rPr>
          <w:rFonts w:ascii="Times New Roman" w:hAnsi="Times New Roman" w:cs="Times New Roman"/>
          <w:sz w:val="24"/>
          <w:szCs w:val="24"/>
          <w:lang w:val="et-EE"/>
        </w:rPr>
      </w:pPr>
    </w:p>
    <w:p w14:paraId="185C5275" w14:textId="77777777" w:rsidR="00865052" w:rsidRDefault="00945E3A" w:rsidP="00945E3A">
      <w:pPr>
        <w:pStyle w:val="Normaallaadveeb"/>
        <w:spacing w:before="0" w:beforeAutospacing="0" w:after="0" w:afterAutospacing="0" w:line="340" w:lineRule="atLeast"/>
        <w:jc w:val="both"/>
        <w:rPr>
          <w:color w:val="222222"/>
          <w:lang w:bidi="ru-RU"/>
        </w:rPr>
      </w:pPr>
      <w:r w:rsidRPr="007D3169">
        <w:rPr>
          <w:color w:val="222222"/>
          <w:lang w:bidi="ru-RU"/>
        </w:rPr>
        <w:t>За один раз ребенка не научить поведению в дорожном движении. Этот навык надо постоянно практиковать и повторять основополагающие истины вновь и вновь, чтобы знания и навыки стали привычкой и автоматическим способом действия. Безопасному дорожному движению нужно обучать маленького ребенка и применять знания на практике по частям.</w:t>
      </w:r>
    </w:p>
    <w:p w14:paraId="28D40216" w14:textId="77777777" w:rsidR="00865052" w:rsidRDefault="00865052" w:rsidP="00945E3A">
      <w:pPr>
        <w:pStyle w:val="Normaallaadveeb"/>
        <w:spacing w:before="150" w:beforeAutospacing="0" w:after="150" w:afterAutospacing="0" w:line="340" w:lineRule="atLeast"/>
        <w:jc w:val="both"/>
        <w:rPr>
          <w:color w:val="222222"/>
          <w:lang w:bidi="ru-RU"/>
        </w:rPr>
      </w:pPr>
    </w:p>
    <w:p w14:paraId="63AF0BA2" w14:textId="77777777" w:rsidR="00865052" w:rsidRDefault="00945E3A" w:rsidP="00945E3A">
      <w:pPr>
        <w:pStyle w:val="Normaallaadveeb"/>
        <w:spacing w:before="0" w:beforeAutospacing="0" w:after="0" w:afterAutospacing="0" w:line="340" w:lineRule="atLeast"/>
        <w:rPr>
          <w:rStyle w:val="Tugev"/>
          <w:color w:val="0070C0"/>
          <w:lang w:bidi="ru-RU"/>
        </w:rPr>
      </w:pPr>
      <w:r w:rsidRPr="007D3169">
        <w:rPr>
          <w:rStyle w:val="Tugev"/>
          <w:color w:val="0070C0"/>
          <w:lang w:bidi="ru-RU"/>
        </w:rPr>
        <w:t>Игры, развивающие восприятие</w:t>
      </w:r>
    </w:p>
    <w:p w14:paraId="4717814C" w14:textId="6860C694" w:rsidR="00945E3A" w:rsidRPr="007D3169" w:rsidRDefault="00945E3A" w:rsidP="00945E3A">
      <w:pPr>
        <w:pStyle w:val="Normaallaadveeb"/>
        <w:spacing w:before="0" w:beforeAutospacing="0" w:after="0" w:afterAutospacing="0" w:line="340" w:lineRule="atLeast"/>
        <w:jc w:val="both"/>
        <w:rPr>
          <w:color w:val="222222"/>
          <w:lang w:val="et-EE"/>
        </w:rPr>
      </w:pPr>
      <w:r w:rsidRPr="007D3169">
        <w:rPr>
          <w:color w:val="222222"/>
          <w:lang w:bidi="ru-RU"/>
        </w:rPr>
        <w:t>Добавляем к статье четыре игры, которые помогут развить восприятие ребенка. Постоянно играя в них в дошкольной группе или на школьных переменах, дети развивают чувства и навыки, которые помогут им лучше справляться с дорожным движением. Хорошей идеей является вовлечение своих коллег и учеников старших классов в различную учебную деятельность — проектную деятельность, исследовательские работы, ученическое руководство младшими классами, тренинги, посвященные темам дорожного движения. Ученики старших классов смогут, например, стать для младших учеников своей школы хорошим примером. И давайте не забывать, что только вместе, на собственном примере, с помощью заботливого внимания и постоянных наставлений мы сможем создать среду, в которой будет расти здоровый, заботящийся о себе участник дорожного движения с правильными привычками и установками.</w:t>
      </w:r>
    </w:p>
    <w:p w14:paraId="30096E6E" w14:textId="77777777" w:rsidR="00865052" w:rsidRDefault="00945E3A" w:rsidP="00945E3A">
      <w:pPr>
        <w:pStyle w:val="Normaallaadveeb"/>
        <w:spacing w:before="150" w:beforeAutospacing="0" w:after="150" w:afterAutospacing="0" w:line="340" w:lineRule="atLeast"/>
        <w:jc w:val="right"/>
        <w:rPr>
          <w:color w:val="222222"/>
          <w:lang w:bidi="ru-RU"/>
        </w:rPr>
      </w:pPr>
      <w:r w:rsidRPr="007D3169">
        <w:rPr>
          <w:color w:val="222222"/>
          <w:lang w:bidi="ru-RU"/>
        </w:rPr>
        <w:t> Удачи нам в этой работе и добрых встреч в дорожном движении!</w:t>
      </w:r>
    </w:p>
    <w:p w14:paraId="78662B88" w14:textId="4D5E26F5" w:rsidR="007D3169" w:rsidRDefault="007D3169" w:rsidP="007D3169">
      <w:pPr>
        <w:rPr>
          <w:rStyle w:val="Tugev"/>
          <w:rFonts w:ascii="Times New Roman" w:hAnsi="Times New Roman" w:cs="Times New Roman"/>
          <w:color w:val="0070C0"/>
          <w:sz w:val="24"/>
          <w:szCs w:val="24"/>
          <w:lang w:val="et-EE"/>
        </w:rPr>
      </w:pPr>
    </w:p>
    <w:p w14:paraId="02A0EB55" w14:textId="77777777" w:rsidR="007D3169" w:rsidRDefault="007D3169" w:rsidP="007D3169">
      <w:pPr>
        <w:rPr>
          <w:rStyle w:val="Tugev"/>
          <w:rFonts w:ascii="Times New Roman" w:hAnsi="Times New Roman" w:cs="Times New Roman"/>
          <w:color w:val="0070C0"/>
          <w:sz w:val="24"/>
          <w:szCs w:val="24"/>
          <w:lang w:val="et-EE"/>
        </w:rPr>
      </w:pPr>
    </w:p>
    <w:p w14:paraId="7270D725" w14:textId="77777777" w:rsidR="007D3169" w:rsidRDefault="007D3169" w:rsidP="007D3169">
      <w:pPr>
        <w:rPr>
          <w:rStyle w:val="Tugev"/>
          <w:rFonts w:ascii="Times New Roman" w:hAnsi="Times New Roman" w:cs="Times New Roman"/>
          <w:color w:val="0070C0"/>
          <w:sz w:val="24"/>
          <w:szCs w:val="24"/>
          <w:lang w:val="et-EE"/>
        </w:rPr>
      </w:pPr>
    </w:p>
    <w:p w14:paraId="6DFA9A48" w14:textId="77777777" w:rsidR="007D3169" w:rsidRDefault="007D3169" w:rsidP="007D3169">
      <w:pPr>
        <w:rPr>
          <w:rStyle w:val="Tugev"/>
          <w:rFonts w:ascii="Times New Roman" w:hAnsi="Times New Roman" w:cs="Times New Roman"/>
          <w:color w:val="0070C0"/>
          <w:sz w:val="24"/>
          <w:szCs w:val="24"/>
          <w:lang w:val="et-EE"/>
        </w:rPr>
      </w:pPr>
    </w:p>
    <w:p w14:paraId="41FDA608" w14:textId="77777777" w:rsidR="007D3169" w:rsidRDefault="007D3169" w:rsidP="007D3169">
      <w:pPr>
        <w:rPr>
          <w:rStyle w:val="Tugev"/>
          <w:rFonts w:ascii="Times New Roman" w:hAnsi="Times New Roman" w:cs="Times New Roman"/>
          <w:color w:val="0070C0"/>
          <w:sz w:val="24"/>
          <w:szCs w:val="24"/>
          <w:lang w:val="et-EE"/>
        </w:rPr>
      </w:pPr>
    </w:p>
    <w:p w14:paraId="3AD74DB5" w14:textId="77777777" w:rsidR="007D3169" w:rsidRDefault="007D3169" w:rsidP="007D3169">
      <w:pPr>
        <w:rPr>
          <w:rStyle w:val="Tugev"/>
          <w:rFonts w:ascii="Times New Roman" w:hAnsi="Times New Roman" w:cs="Times New Roman"/>
          <w:color w:val="0070C0"/>
          <w:sz w:val="24"/>
          <w:szCs w:val="24"/>
          <w:lang w:val="et-EE"/>
        </w:rPr>
      </w:pPr>
    </w:p>
    <w:p w14:paraId="3CD5B620" w14:textId="77777777" w:rsidR="007D3169" w:rsidRDefault="007D3169" w:rsidP="007D3169">
      <w:pPr>
        <w:rPr>
          <w:rStyle w:val="Tugev"/>
          <w:rFonts w:ascii="Times New Roman" w:hAnsi="Times New Roman" w:cs="Times New Roman"/>
          <w:color w:val="0070C0"/>
          <w:sz w:val="24"/>
          <w:szCs w:val="24"/>
          <w:lang w:val="et-EE"/>
        </w:rPr>
      </w:pPr>
    </w:p>
    <w:p w14:paraId="0C9385BB" w14:textId="77777777" w:rsidR="00865052" w:rsidRDefault="00945E3A" w:rsidP="007D3169">
      <w:pPr>
        <w:rPr>
          <w:rStyle w:val="Tugev"/>
          <w:rFonts w:ascii="Times New Roman" w:eastAsia="Times New Roman" w:hAnsi="Times New Roman" w:cs="Times New Roman"/>
          <w:color w:val="0070C0"/>
          <w:sz w:val="24"/>
          <w:szCs w:val="24"/>
          <w:lang w:bidi="ru-RU"/>
        </w:rPr>
      </w:pPr>
      <w:r w:rsidRPr="007D3169">
        <w:rPr>
          <w:rStyle w:val="Tugev"/>
          <w:rFonts w:ascii="Times New Roman" w:eastAsia="Times New Roman" w:hAnsi="Times New Roman" w:cs="Times New Roman"/>
          <w:color w:val="0070C0"/>
          <w:sz w:val="24"/>
          <w:szCs w:val="24"/>
          <w:lang w:bidi="ru-RU"/>
        </w:rPr>
        <w:lastRenderedPageBreak/>
        <w:t>Материалы для дополнительного чтения</w:t>
      </w:r>
    </w:p>
    <w:p w14:paraId="62F64300" w14:textId="74DE3B3D" w:rsidR="00945E3A" w:rsidRPr="007D3169" w:rsidRDefault="00945E3A" w:rsidP="00945E3A">
      <w:pPr>
        <w:pStyle w:val="Normaallaadveeb"/>
        <w:numPr>
          <w:ilvl w:val="0"/>
          <w:numId w:val="1"/>
        </w:numPr>
        <w:spacing w:before="0" w:beforeAutospacing="0" w:after="0" w:afterAutospacing="0" w:line="340" w:lineRule="atLeast"/>
        <w:rPr>
          <w:color w:val="222222"/>
          <w:lang w:val="et-EE"/>
        </w:rPr>
      </w:pPr>
      <w:r w:rsidRPr="007D3169">
        <w:rPr>
          <w:color w:val="222222"/>
          <w:lang w:bidi="ru-RU"/>
        </w:rPr>
        <w:t xml:space="preserve">Советы для идущих в школу детей и их родителей: </w:t>
      </w:r>
      <w:hyperlink r:id="rId8" w:tgtFrame="_blank" w:history="1">
        <w:r w:rsidRPr="007D3169">
          <w:rPr>
            <w:rStyle w:val="Hperlink"/>
            <w:color w:val="007C89"/>
            <w:lang w:bidi="ru-RU"/>
          </w:rPr>
          <w:t>Tark laps kooliteel</w:t>
        </w:r>
      </w:hyperlink>
      <w:r w:rsidRPr="007D3169">
        <w:rPr>
          <w:color w:val="222222"/>
          <w:lang w:bidi="ru-RU"/>
        </w:rPr>
        <w:t xml:space="preserve"> («Умный ребенок идет в школу»).</w:t>
      </w:r>
    </w:p>
    <w:p w14:paraId="1C754286" w14:textId="77777777" w:rsidR="00945E3A" w:rsidRPr="007D3169" w:rsidRDefault="00D970DB" w:rsidP="00945E3A">
      <w:pPr>
        <w:pStyle w:val="Normaallaadveeb"/>
        <w:numPr>
          <w:ilvl w:val="0"/>
          <w:numId w:val="1"/>
        </w:numPr>
        <w:spacing w:before="0" w:beforeAutospacing="0" w:after="0" w:afterAutospacing="0" w:line="340" w:lineRule="atLeast"/>
        <w:rPr>
          <w:color w:val="222222"/>
          <w:lang w:val="et-EE"/>
        </w:rPr>
      </w:pPr>
      <w:hyperlink r:id="rId9" w:tgtFrame="_blank" w:history="1">
        <w:r w:rsidR="00945E3A" w:rsidRPr="007D3169">
          <w:rPr>
            <w:rStyle w:val="Hperlink"/>
            <w:color w:val="007C89"/>
            <w:lang w:bidi="ru-RU"/>
          </w:rPr>
          <w:t>Результаты обучения, полезные ссылки и учебные задания по подтеме дорожного движения</w:t>
        </w:r>
      </w:hyperlink>
      <w:r w:rsidR="00945E3A" w:rsidRPr="007D3169">
        <w:rPr>
          <w:color w:val="222222"/>
          <w:lang w:bidi="ru-RU"/>
        </w:rPr>
        <w:t xml:space="preserve"> в пособиях для учителей по теме безопасности, разработанные для поддержки учителей при применении в государственной учебной программе сквозной темы «Здоровье и безопасность».</w:t>
      </w:r>
    </w:p>
    <w:p w14:paraId="5985DB41" w14:textId="5A837242" w:rsidR="00945E3A" w:rsidRPr="00865052" w:rsidRDefault="00945E3A" w:rsidP="00865052">
      <w:pPr>
        <w:pStyle w:val="Normaallaadveeb"/>
        <w:numPr>
          <w:ilvl w:val="0"/>
          <w:numId w:val="1"/>
        </w:numPr>
        <w:spacing w:before="0" w:beforeAutospacing="0" w:after="0" w:afterAutospacing="0" w:line="340" w:lineRule="atLeast"/>
        <w:rPr>
          <w:color w:val="222222"/>
          <w:lang w:bidi="ru-RU"/>
        </w:rPr>
      </w:pPr>
      <w:r w:rsidRPr="007D3169">
        <w:rPr>
          <w:color w:val="222222"/>
          <w:lang w:bidi="ru-RU"/>
        </w:rPr>
        <w:t xml:space="preserve">Различная информация о воспитании культуры дорожного движения: </w:t>
      </w:r>
      <w:hyperlink r:id="rId10" w:tgtFrame="_blank" w:history="1">
        <w:r w:rsidRPr="007D3169">
          <w:rPr>
            <w:rStyle w:val="Hperlink"/>
            <w:color w:val="007C89"/>
            <w:lang w:bidi="ru-RU"/>
          </w:rPr>
          <w:t>www.liikluskasvatus.ee</w:t>
        </w:r>
      </w:hyperlink>
    </w:p>
    <w:sectPr w:rsidR="00945E3A" w:rsidRPr="00865052" w:rsidSect="00945E3A">
      <w:footerReference w:type="default" r:id="rId11"/>
      <w:pgSz w:w="11906" w:h="16838"/>
      <w:pgMar w:top="1440"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FD12E" w14:textId="77777777" w:rsidR="00D970DB" w:rsidRDefault="00D970DB" w:rsidP="00945E3A">
      <w:pPr>
        <w:spacing w:after="0" w:line="240" w:lineRule="auto"/>
      </w:pPr>
      <w:r>
        <w:separator/>
      </w:r>
    </w:p>
  </w:endnote>
  <w:endnote w:type="continuationSeparator" w:id="0">
    <w:p w14:paraId="32112BD1" w14:textId="77777777" w:rsidR="00D970DB" w:rsidRDefault="00D970DB" w:rsidP="0094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E7579" w14:textId="77777777" w:rsidR="00945E3A" w:rsidRDefault="00945E3A">
    <w:pPr>
      <w:pStyle w:val="Jalus"/>
    </w:pPr>
    <w:r>
      <w:rPr>
        <w:noProof/>
        <w:lang w:bidi="ru-RU"/>
      </w:rPr>
      <w:drawing>
        <wp:inline distT="0" distB="0" distL="0" distR="0" wp14:anchorId="24308936" wp14:editId="750C9DCD">
          <wp:extent cx="5731510" cy="701675"/>
          <wp:effectExtent l="0" t="0" r="2540" b="317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01675"/>
                  </a:xfrm>
                  <a:prstGeom prst="rect">
                    <a:avLst/>
                  </a:prstGeom>
                </pic:spPr>
              </pic:pic>
            </a:graphicData>
          </a:graphic>
        </wp:inline>
      </w:drawing>
    </w:r>
  </w:p>
  <w:p w14:paraId="37BD5E4D" w14:textId="77777777" w:rsidR="00945E3A" w:rsidRDefault="00945E3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54472" w14:textId="77777777" w:rsidR="00D970DB" w:rsidRDefault="00D970DB" w:rsidP="00945E3A">
      <w:pPr>
        <w:spacing w:after="0" w:line="240" w:lineRule="auto"/>
      </w:pPr>
      <w:r>
        <w:separator/>
      </w:r>
    </w:p>
  </w:footnote>
  <w:footnote w:type="continuationSeparator" w:id="0">
    <w:p w14:paraId="7E9ADF3A" w14:textId="77777777" w:rsidR="00D970DB" w:rsidRDefault="00D970DB" w:rsidP="00945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604C7"/>
    <w:multiLevelType w:val="hybridMultilevel"/>
    <w:tmpl w:val="D122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3A"/>
    <w:rsid w:val="001B3D9E"/>
    <w:rsid w:val="0023534A"/>
    <w:rsid w:val="00524D81"/>
    <w:rsid w:val="00685BBE"/>
    <w:rsid w:val="007D3169"/>
    <w:rsid w:val="00865052"/>
    <w:rsid w:val="00945E3A"/>
    <w:rsid w:val="00BB0C63"/>
    <w:rsid w:val="00D970DB"/>
    <w:rsid w:val="00E9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19C8"/>
  <w15:chartTrackingRefBased/>
  <w15:docId w15:val="{3DA300AF-C4F2-4BE2-A8B0-9D339CE8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45E3A"/>
    <w:pPr>
      <w:tabs>
        <w:tab w:val="center" w:pos="4513"/>
        <w:tab w:val="right" w:pos="9026"/>
      </w:tabs>
      <w:spacing w:after="0" w:line="240" w:lineRule="auto"/>
    </w:pPr>
  </w:style>
  <w:style w:type="character" w:customStyle="1" w:styleId="PisMrk">
    <w:name w:val="Päis Märk"/>
    <w:basedOn w:val="Liguvaikefont"/>
    <w:link w:val="Pis"/>
    <w:uiPriority w:val="99"/>
    <w:rsid w:val="00945E3A"/>
  </w:style>
  <w:style w:type="paragraph" w:styleId="Jalus">
    <w:name w:val="footer"/>
    <w:basedOn w:val="Normaallaad"/>
    <w:link w:val="JalusMrk"/>
    <w:uiPriority w:val="99"/>
    <w:unhideWhenUsed/>
    <w:rsid w:val="00945E3A"/>
    <w:pPr>
      <w:tabs>
        <w:tab w:val="center" w:pos="4513"/>
        <w:tab w:val="right" w:pos="9026"/>
      </w:tabs>
      <w:spacing w:after="0" w:line="240" w:lineRule="auto"/>
    </w:pPr>
  </w:style>
  <w:style w:type="character" w:customStyle="1" w:styleId="JalusMrk">
    <w:name w:val="Jalus Märk"/>
    <w:basedOn w:val="Liguvaikefont"/>
    <w:link w:val="Jalus"/>
    <w:uiPriority w:val="99"/>
    <w:rsid w:val="00945E3A"/>
  </w:style>
  <w:style w:type="paragraph" w:styleId="Normaallaadveeb">
    <w:name w:val="Normal (Web)"/>
    <w:basedOn w:val="Normaallaad"/>
    <w:uiPriority w:val="99"/>
    <w:unhideWhenUsed/>
    <w:rsid w:val="00945E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ugev">
    <w:name w:val="Strong"/>
    <w:basedOn w:val="Liguvaikefont"/>
    <w:uiPriority w:val="22"/>
    <w:qFormat/>
    <w:rsid w:val="00945E3A"/>
    <w:rPr>
      <w:b/>
      <w:bCs/>
    </w:rPr>
  </w:style>
  <w:style w:type="character" w:styleId="Rhutus">
    <w:name w:val="Emphasis"/>
    <w:basedOn w:val="Liguvaikefont"/>
    <w:uiPriority w:val="20"/>
    <w:qFormat/>
    <w:rsid w:val="00945E3A"/>
    <w:rPr>
      <w:i/>
      <w:iCs/>
    </w:rPr>
  </w:style>
  <w:style w:type="character" w:styleId="Hperlink">
    <w:name w:val="Hyperlink"/>
    <w:basedOn w:val="Liguvaikefont"/>
    <w:uiPriority w:val="99"/>
    <w:unhideWhenUsed/>
    <w:rsid w:val="00945E3A"/>
    <w:rPr>
      <w:color w:val="0000FF"/>
      <w:u w:val="single"/>
    </w:rPr>
  </w:style>
  <w:style w:type="table" w:styleId="Kontuurtabel">
    <w:name w:val="Table Grid"/>
    <w:basedOn w:val="Normaaltabel"/>
    <w:uiPriority w:val="39"/>
    <w:rsid w:val="0094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524D81"/>
    <w:rPr>
      <w:color w:val="954F72" w:themeColor="followedHyperlink"/>
      <w:u w:val="single"/>
    </w:rPr>
  </w:style>
  <w:style w:type="character" w:styleId="Lahendamatamainimine">
    <w:name w:val="Unresolved Mention"/>
    <w:basedOn w:val="Liguvaikefont"/>
    <w:uiPriority w:val="99"/>
    <w:semiHidden/>
    <w:unhideWhenUsed/>
    <w:rsid w:val="00524D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2791">
      <w:bodyDiv w:val="1"/>
      <w:marLeft w:val="0"/>
      <w:marRight w:val="0"/>
      <w:marTop w:val="0"/>
      <w:marBottom w:val="0"/>
      <w:divBdr>
        <w:top w:val="none" w:sz="0" w:space="0" w:color="auto"/>
        <w:left w:val="none" w:sz="0" w:space="0" w:color="auto"/>
        <w:bottom w:val="none" w:sz="0" w:space="0" w:color="auto"/>
        <w:right w:val="none" w:sz="0" w:space="0" w:color="auto"/>
      </w:divBdr>
    </w:div>
    <w:div w:id="688413391">
      <w:bodyDiv w:val="1"/>
      <w:marLeft w:val="0"/>
      <w:marRight w:val="0"/>
      <w:marTop w:val="0"/>
      <w:marBottom w:val="0"/>
      <w:divBdr>
        <w:top w:val="none" w:sz="0" w:space="0" w:color="auto"/>
        <w:left w:val="none" w:sz="0" w:space="0" w:color="auto"/>
        <w:bottom w:val="none" w:sz="0" w:space="0" w:color="auto"/>
        <w:right w:val="none" w:sz="0" w:space="0" w:color="auto"/>
      </w:divBdr>
    </w:div>
    <w:div w:id="14285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ikluskasvatus.ee/et/lapsevanemale/3/lugemissoovitus/infomaterjal-tark-laps-koolite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ikluskasvatus.ee/et/opetajale/3/huvitav-ja-kasul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ikluskasvatus.ee/" TargetMode="External"/><Relationship Id="rId4" Type="http://schemas.openxmlformats.org/officeDocument/2006/relationships/webSettings" Target="webSettings.xml"/><Relationship Id="rId9" Type="http://schemas.openxmlformats.org/officeDocument/2006/relationships/hyperlink" Target="https://www.liikluskasvatus.ee/et/opetajale/1/ohutusteemalised-opetajaraamatu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10276</Characters>
  <Application>Microsoft Office Word</Application>
  <DocSecurity>0</DocSecurity>
  <Lines>85</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Tallo</dc:creator>
  <cp:keywords/>
  <dc:description/>
  <cp:lastModifiedBy>Kerli Tallo</cp:lastModifiedBy>
  <cp:revision>2</cp:revision>
  <dcterms:created xsi:type="dcterms:W3CDTF">2021-10-06T11:46:00Z</dcterms:created>
  <dcterms:modified xsi:type="dcterms:W3CDTF">2021-10-06T11:46:00Z</dcterms:modified>
</cp:coreProperties>
</file>