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24" w:rsidRDefault="002D4324" w:rsidP="002D4324">
      <w:pPr>
        <w:pStyle w:val="Pealkiri2"/>
        <w:rPr>
          <w:rFonts w:eastAsia="Times New Roman"/>
          <w:b/>
        </w:rPr>
      </w:pPr>
      <w:r>
        <w:rPr>
          <w:rFonts w:eastAsia="Times New Roman"/>
          <w:b/>
        </w:rPr>
        <w:t>Kampaania kavandamine ja loomine koolis mõne riikliku kampaania ajal</w:t>
      </w:r>
    </w:p>
    <w:p w:rsidR="002D4324" w:rsidRDefault="002D4324" w:rsidP="002D4324">
      <w:pPr>
        <w:contextualSpacing/>
        <w:rPr>
          <w:b/>
        </w:rPr>
      </w:pPr>
    </w:p>
    <w:p w:rsidR="002D4324" w:rsidRDefault="002D4324" w:rsidP="002D4324">
      <w:pPr>
        <w:rPr>
          <w:b/>
        </w:rPr>
      </w:pPr>
      <w:r>
        <w:rPr>
          <w:b/>
        </w:rPr>
        <w:t>Taustainfo</w:t>
      </w:r>
    </w:p>
    <w:p w:rsidR="002D4324" w:rsidRPr="00356EA2" w:rsidRDefault="002D4324" w:rsidP="002D4324">
      <w:pPr>
        <w:ind w:right="141"/>
        <w:jc w:val="both"/>
        <w:rPr>
          <w:rFonts w:cs="Calibri"/>
          <w:bCs/>
        </w:rPr>
      </w:pPr>
      <w:bookmarkStart w:id="0" w:name="_Hlk494713645"/>
      <w:r w:rsidRPr="006C20AB">
        <w:rPr>
          <w:rFonts w:cs="Calibri"/>
          <w:bCs/>
        </w:rPr>
        <w:t>Riiklikud ohutuse ja ennetusega tegelevad ametid viivad regulaarselt läbi erinevaid kampaaniaid, et saavutada elanikkonna tähelepanu ja tõsta teadlikkust mingis kindlas valdkonnas. Kuna sellised kampaaniad, on nad siis kas plakatite või klippide vm moel esitatud, võivad kergesti muutuda noorte jaoks ka „tapeediks“ muul taustal (kuna on juba harjumuspärased), sii</w:t>
      </w:r>
      <w:r>
        <w:rPr>
          <w:rFonts w:cs="Calibri"/>
          <w:bCs/>
        </w:rPr>
        <w:t xml:space="preserve">s antud ülesanne on suunatud gümnaasiumi </w:t>
      </w:r>
      <w:r w:rsidRPr="006C20AB">
        <w:rPr>
          <w:rFonts w:cs="Calibri"/>
          <w:bCs/>
        </w:rPr>
        <w:t>õpilaste hulgas kampaaniate märkamisele ning sõnumite üle mõtlemisele ja arutlemisele. Kasutades ära noorte soovi midagi ise teha ja olla loovad, antakse neile ülesandega võimalus olla ise ühe ohutuse</w:t>
      </w:r>
      <w:r>
        <w:rPr>
          <w:rFonts w:cs="Calibri"/>
          <w:bCs/>
        </w:rPr>
        <w:t xml:space="preserve"> või tervise</w:t>
      </w:r>
      <w:r w:rsidRPr="006C20AB">
        <w:rPr>
          <w:rFonts w:cs="Calibri"/>
          <w:bCs/>
        </w:rPr>
        <w:t xml:space="preserve">teemalise kampaania loojaks, mis kutsuks valitud sihtrühma üles tegema tervislikumaid ja turvalisemaid valikuid elus ning seeläbi </w:t>
      </w:r>
      <w:proofErr w:type="spellStart"/>
      <w:r w:rsidRPr="006C20AB">
        <w:rPr>
          <w:rFonts w:cs="Calibri"/>
          <w:bCs/>
        </w:rPr>
        <w:t>võimestaks</w:t>
      </w:r>
      <w:proofErr w:type="spellEnd"/>
      <w:r w:rsidRPr="006C20AB">
        <w:rPr>
          <w:rFonts w:cs="Calibri"/>
          <w:bCs/>
        </w:rPr>
        <w:t xml:space="preserve"> suurema, üleriigilise kampaania märgatavust ja mõju.</w:t>
      </w:r>
      <w:bookmarkEnd w:id="0"/>
    </w:p>
    <w:p w:rsidR="002D4324" w:rsidRDefault="002D4324" w:rsidP="002D4324">
      <w:pPr>
        <w:rPr>
          <w:b/>
        </w:rPr>
      </w:pPr>
      <w:r>
        <w:rPr>
          <w:b/>
        </w:rPr>
        <w:t xml:space="preserve">Õppetegevustega käsitletavad ohutuse teemad: </w:t>
      </w:r>
      <w:r>
        <w:t xml:space="preserve">tuleohutus, veeohutus, plahvatusohtude ennetamine, elanikkonnakaitse, liiklusohutus, uimastitarvitamise ennetus, abi kutsumine, </w:t>
      </w:r>
      <w:proofErr w:type="spellStart"/>
      <w:r>
        <w:t>digiturvalisus</w:t>
      </w:r>
      <w:proofErr w:type="spellEnd"/>
      <w:r>
        <w:t xml:space="preserve">, vägivallaennetus (sh kiusamiskäitumine koolis), varavastaste kahjude ennetus, avalikus kohas käitumine, füüsiline ja vaimne tervis jt. </w:t>
      </w:r>
    </w:p>
    <w:p w:rsidR="002D4324" w:rsidRDefault="002D4324" w:rsidP="002D4324">
      <w:pPr>
        <w:contextualSpacing/>
      </w:pPr>
      <w:r>
        <w:rPr>
          <w:b/>
        </w:rPr>
        <w:t xml:space="preserve">Õppetegevuste eesmärk. </w:t>
      </w:r>
      <w:r>
        <w:t>Kampaaniatega tutvumise läbi saavad õpilased teadlikuks parasjagu käimasolevatest suurematest (riiklikest) kampaaniatest ning antud aja prioriteetsetest ennetus- ja teavitustegevustest/-valdkondadest; oskavad hinnata kampaania komponente (sisu, sihtrühma, teostust jm) ja kavandada vastavalt sellele oma kampaaniat. Valides tervist ja turvalisust edendavad kampaaniaideed, õpitakse väärtustama ja propageerima nii enda kui koolikaaslaste tervist toetavaid valikuid. Kampaania kavandamise kaudu omandatakse oskused planeerida vastavaid üritusi (hinnata hetkeolukorda, seada eesmärke, viia läbi tegevusi) ning võtta seeläbi vastutus rühma- ning koolikaaslaste ees. Oma kohaliku koolikampaania läbiviimisega võimendatakse riiklike/suuremate kampaaniate mõju, tuues vastavad tervist ja turvalisust edendavad teemad koolimajja. SWOT-analüüsi kasutamisega omandavad õpilased oskuse analüüsida erinevate ettevõtmiste sisemisi ja väliseid tugevusi ja nõrkusi ning kavandama sellest tulenevalt tõhusaid toimimisstrateegiaid.</w:t>
      </w:r>
    </w:p>
    <w:p w:rsidR="002D4324" w:rsidRDefault="002D4324" w:rsidP="002D4324">
      <w:pPr>
        <w:contextualSpacing/>
        <w:rPr>
          <w:b/>
        </w:rPr>
      </w:pPr>
    </w:p>
    <w:p w:rsidR="002D4324" w:rsidRDefault="002D4324" w:rsidP="002D4324">
      <w:pPr>
        <w:contextualSpacing/>
        <w:rPr>
          <w:b/>
        </w:rPr>
      </w:pPr>
      <w:r>
        <w:rPr>
          <w:b/>
        </w:rPr>
        <w:t xml:space="preserve">Õppekeskkond. </w:t>
      </w:r>
      <w:r>
        <w:t>Arvuti kasutamisevõimalusega klassiruum; koolimaja ja/või selle vahetu ümbrus.</w:t>
      </w:r>
    </w:p>
    <w:p w:rsidR="002D4324" w:rsidRDefault="002D4324" w:rsidP="002D4324">
      <w:pPr>
        <w:contextualSpacing/>
        <w:rPr>
          <w:b/>
        </w:rPr>
      </w:pPr>
    </w:p>
    <w:p w:rsidR="002D4324" w:rsidRDefault="002D4324" w:rsidP="002D4324">
      <w:pPr>
        <w:contextualSpacing/>
        <w:rPr>
          <w:b/>
        </w:rPr>
      </w:pPr>
      <w:r>
        <w:rPr>
          <w:b/>
        </w:rPr>
        <w:t>Õppetegevused</w:t>
      </w:r>
    </w:p>
    <w:p w:rsidR="002D4324" w:rsidRDefault="002D4324" w:rsidP="002D4324">
      <w:pPr>
        <w:contextualSpacing/>
      </w:pPr>
    </w:p>
    <w:p w:rsidR="002D4324" w:rsidRDefault="002D4324" w:rsidP="002D4324">
      <w:pPr>
        <w:pStyle w:val="Loendilik"/>
        <w:numPr>
          <w:ilvl w:val="0"/>
          <w:numId w:val="2"/>
        </w:numPr>
        <w:spacing w:after="0"/>
      </w:pPr>
      <w:r>
        <w:rPr>
          <w:u w:val="single"/>
        </w:rPr>
        <w:t xml:space="preserve">Õpilased </w:t>
      </w:r>
      <w:r>
        <w:rPr>
          <w:i/>
          <w:u w:val="single"/>
        </w:rPr>
        <w:t>tutvuvad</w:t>
      </w:r>
      <w:r>
        <w:rPr>
          <w:u w:val="single"/>
        </w:rPr>
        <w:t xml:space="preserve"> mõne parajasti läbiviidava riikliku </w:t>
      </w:r>
      <w:r>
        <w:rPr>
          <w:i/>
          <w:u w:val="single"/>
        </w:rPr>
        <w:t>kampaania</w:t>
      </w:r>
      <w:r>
        <w:rPr>
          <w:u w:val="single"/>
        </w:rPr>
        <w:t xml:space="preserve"> </w:t>
      </w:r>
      <w:r>
        <w:t xml:space="preserve">või (iga-aastase) suurema </w:t>
      </w:r>
      <w:r>
        <w:rPr>
          <w:i/>
        </w:rPr>
        <w:t>projektiga</w:t>
      </w:r>
      <w:r>
        <w:t xml:space="preserve"> (nt </w:t>
      </w:r>
      <w:r w:rsidRPr="00925B40">
        <w:t xml:space="preserve">„Targalt </w:t>
      </w:r>
      <w:r>
        <w:t>internetis“ vm), andes hinnangu selle sihtrühma, eesmärgi, vahendite ja meetodite kohta.</w:t>
      </w:r>
    </w:p>
    <w:p w:rsidR="002D4324" w:rsidRDefault="002D4324" w:rsidP="002D4324">
      <w:pPr>
        <w:pStyle w:val="Loendilik"/>
        <w:spacing w:after="0"/>
      </w:pPr>
    </w:p>
    <w:p w:rsidR="002D4324" w:rsidRDefault="002D4324" w:rsidP="002D4324">
      <w:pPr>
        <w:numPr>
          <w:ilvl w:val="0"/>
          <w:numId w:val="2"/>
        </w:numPr>
        <w:contextualSpacing/>
      </w:pPr>
      <w:r>
        <w:rPr>
          <w:i/>
          <w:u w:val="single"/>
        </w:rPr>
        <w:t>Kavandatakse oma kampaania</w:t>
      </w:r>
      <w:r>
        <w:rPr>
          <w:u w:val="single"/>
        </w:rPr>
        <w:t>,</w:t>
      </w:r>
      <w:r>
        <w:t xml:space="preserve"> mille eesmärgiks oleks toetada riiklikku kampaaniat</w:t>
      </w:r>
    </w:p>
    <w:p w:rsidR="002D4324" w:rsidRDefault="002D4324" w:rsidP="002D4324">
      <w:pPr>
        <w:pStyle w:val="Loendilik"/>
        <w:numPr>
          <w:ilvl w:val="0"/>
          <w:numId w:val="1"/>
        </w:numPr>
      </w:pPr>
      <w:r>
        <w:t>selleks otsitakse usaldusväärsetest allikatest vajalikku taustainformatsiooni (ka statistikat),</w:t>
      </w:r>
    </w:p>
    <w:p w:rsidR="002D4324" w:rsidRDefault="002D4324" w:rsidP="002D4324">
      <w:pPr>
        <w:pStyle w:val="Loendilik"/>
        <w:numPr>
          <w:ilvl w:val="0"/>
          <w:numId w:val="1"/>
        </w:numPr>
      </w:pPr>
      <w:r>
        <w:t>sõnastatakse oma sihtrühm ja viisid, kuidas võiks tõhusalt antud sihtrühmani jõuda.</w:t>
      </w:r>
    </w:p>
    <w:p w:rsidR="002D4324" w:rsidRDefault="002D4324" w:rsidP="002D4324">
      <w:pPr>
        <w:contextualSpacing/>
        <w:rPr>
          <w:u w:val="single"/>
        </w:rPr>
      </w:pPr>
    </w:p>
    <w:p w:rsidR="002D4324" w:rsidRDefault="002D4324" w:rsidP="002D4324">
      <w:pPr>
        <w:numPr>
          <w:ilvl w:val="0"/>
          <w:numId w:val="2"/>
        </w:numPr>
        <w:contextualSpacing/>
      </w:pPr>
      <w:r>
        <w:rPr>
          <w:u w:val="single"/>
        </w:rPr>
        <w:t>Oma kampaaniakavandit tutvustatakse klassikaaslastele esitlusega</w:t>
      </w:r>
      <w:r>
        <w:t xml:space="preserve"> ning iga kampaania kohta antakse kaasõpilastele kirjalikku tagasisidet. </w:t>
      </w:r>
    </w:p>
    <w:p w:rsidR="002D4324" w:rsidRDefault="002D4324" w:rsidP="002D4324">
      <w:pPr>
        <w:ind w:left="720"/>
        <w:contextualSpacing/>
      </w:pPr>
    </w:p>
    <w:p w:rsidR="002D4324" w:rsidRDefault="002D4324" w:rsidP="002D4324">
      <w:pPr>
        <w:numPr>
          <w:ilvl w:val="0"/>
          <w:numId w:val="2"/>
        </w:numPr>
        <w:contextualSpacing/>
        <w:rPr>
          <w:u w:val="single"/>
        </w:rPr>
      </w:pPr>
      <w:r>
        <w:rPr>
          <w:u w:val="single"/>
        </w:rPr>
        <w:t xml:space="preserve">Klassis </w:t>
      </w:r>
      <w:r>
        <w:rPr>
          <w:i/>
          <w:u w:val="single"/>
        </w:rPr>
        <w:t>valitakse välja kõige parem</w:t>
      </w:r>
      <w:r>
        <w:rPr>
          <w:u w:val="single"/>
        </w:rPr>
        <w:t xml:space="preserve"> (selleks vt hindamisjuhist)</w:t>
      </w:r>
      <w:r>
        <w:rPr>
          <w:i/>
          <w:u w:val="single"/>
        </w:rPr>
        <w:t xml:space="preserve"> kampaaniaidee</w:t>
      </w:r>
      <w:r>
        <w:rPr>
          <w:u w:val="single"/>
        </w:rPr>
        <w:t>.</w:t>
      </w:r>
    </w:p>
    <w:p w:rsidR="002D4324" w:rsidRDefault="002D4324" w:rsidP="002D4324">
      <w:pPr>
        <w:contextualSpacing/>
        <w:rPr>
          <w:u w:val="single"/>
        </w:rPr>
      </w:pPr>
    </w:p>
    <w:p w:rsidR="002D4324" w:rsidRDefault="002D4324" w:rsidP="002D4324">
      <w:pPr>
        <w:numPr>
          <w:ilvl w:val="0"/>
          <w:numId w:val="2"/>
        </w:numPr>
        <w:contextualSpacing/>
      </w:pPr>
      <w:r>
        <w:rPr>
          <w:u w:val="single"/>
        </w:rPr>
        <w:t xml:space="preserve">Sihtrühma seas </w:t>
      </w:r>
      <w:r>
        <w:rPr>
          <w:i/>
          <w:u w:val="single"/>
        </w:rPr>
        <w:t>viiakse läbi eelnev hindamine</w:t>
      </w:r>
      <w:r>
        <w:t xml:space="preserve"> (saamaks teada hetkeolukorda käsitletava teema lõikes) kas vaatluste, küsitluste vt andmekogumise meetodite kaudu; </w:t>
      </w:r>
    </w:p>
    <w:p w:rsidR="002D4324" w:rsidRDefault="002D4324" w:rsidP="002D4324">
      <w:pPr>
        <w:pStyle w:val="Loendilik"/>
        <w:numPr>
          <w:ilvl w:val="0"/>
          <w:numId w:val="1"/>
        </w:numPr>
      </w:pPr>
      <w:r>
        <w:t xml:space="preserve">Kogutud andmestik esitatakse tabelite ja joonistena ja tehakse järeldused. </w:t>
      </w:r>
    </w:p>
    <w:p w:rsidR="002D4324" w:rsidRDefault="002D4324" w:rsidP="002D4324">
      <w:pPr>
        <w:pStyle w:val="Loendilik"/>
        <w:numPr>
          <w:ilvl w:val="0"/>
          <w:numId w:val="1"/>
        </w:numPr>
      </w:pPr>
      <w:r>
        <w:t>Vastavalt järeldustele seatakse oma kampaaniale eesmärgid ning viiakse läbi SWOT-analüüs (vt Lisa 1).</w:t>
      </w:r>
    </w:p>
    <w:p w:rsidR="002D4324" w:rsidRDefault="002D4324" w:rsidP="002D4324">
      <w:pPr>
        <w:numPr>
          <w:ilvl w:val="0"/>
          <w:numId w:val="2"/>
        </w:numPr>
        <w:contextualSpacing/>
        <w:rPr>
          <w:u w:val="single"/>
        </w:rPr>
      </w:pPr>
      <w:r>
        <w:rPr>
          <w:i/>
          <w:u w:val="single"/>
        </w:rPr>
        <w:t>Kampaania viiakse ühiselt läbi</w:t>
      </w:r>
      <w:r>
        <w:rPr>
          <w:u w:val="single"/>
        </w:rPr>
        <w:t>.</w:t>
      </w:r>
    </w:p>
    <w:p w:rsidR="002D4324" w:rsidRDefault="002D4324" w:rsidP="002D4324">
      <w:pPr>
        <w:ind w:left="720"/>
        <w:contextualSpacing/>
        <w:rPr>
          <w:u w:val="single"/>
        </w:rPr>
      </w:pPr>
    </w:p>
    <w:p w:rsidR="002D4324" w:rsidRDefault="002D4324" w:rsidP="002D4324">
      <w:pPr>
        <w:numPr>
          <w:ilvl w:val="0"/>
          <w:numId w:val="2"/>
        </w:numPr>
        <w:contextualSpacing/>
      </w:pPr>
      <w:r>
        <w:rPr>
          <w:i/>
          <w:u w:val="single"/>
        </w:rPr>
        <w:t>Võetakse kokku kampaania tulemused</w:t>
      </w:r>
      <w:r>
        <w:t xml:space="preserve"> (nii läbiviimisega seonduv kui ka tagasisidest saadud) ning hinnatakse selle põhjal kampaania edukust. </w:t>
      </w:r>
    </w:p>
    <w:p w:rsidR="002D4324" w:rsidRDefault="002D4324" w:rsidP="002D4324">
      <w:pPr>
        <w:pStyle w:val="Loendilik"/>
        <w:numPr>
          <w:ilvl w:val="0"/>
          <w:numId w:val="1"/>
        </w:numPr>
      </w:pPr>
      <w:r>
        <w:t>Sõnastatakse muutused ning uued eesmärgid ja soovitused neile, kes järgnevatel kordadel/aastatel oma vastavat kampaaniat läbi viivad.</w:t>
      </w:r>
    </w:p>
    <w:p w:rsidR="002D4324" w:rsidRDefault="002D4324" w:rsidP="002D4324">
      <w:pPr>
        <w:ind w:left="360"/>
        <w:rPr>
          <w:b/>
        </w:rPr>
      </w:pPr>
    </w:p>
    <w:p w:rsidR="002D4324" w:rsidRDefault="002D4324" w:rsidP="002D4324">
      <w:pPr>
        <w:contextualSpacing/>
        <w:rPr>
          <w:b/>
        </w:rPr>
      </w:pPr>
      <w:r>
        <w:rPr>
          <w:b/>
        </w:rPr>
        <w:t>Õpitulemused</w:t>
      </w:r>
    </w:p>
    <w:p w:rsidR="002D4324" w:rsidRDefault="002D4324" w:rsidP="002D4324">
      <w:pPr>
        <w:contextualSpacing/>
        <w:rPr>
          <w:b/>
        </w:rPr>
      </w:pPr>
    </w:p>
    <w:p w:rsidR="002D4324" w:rsidRDefault="002D4324" w:rsidP="002D4324">
      <w:pPr>
        <w:contextualSpacing/>
        <w:rPr>
          <w:rFonts w:cs="Calibri"/>
        </w:rPr>
      </w:pPr>
      <w:r>
        <w:rPr>
          <w:rFonts w:cs="Calibri"/>
        </w:rPr>
        <w:t>Detailsed õpitulemused erinevad vastavalt valitud kampaaniate teemadele, seega on siinkohal toodud ära üldised (teemadeülesed) õpitulemused:</w:t>
      </w:r>
    </w:p>
    <w:p w:rsidR="002D4324" w:rsidRDefault="002D4324" w:rsidP="002D4324">
      <w:pPr>
        <w:pStyle w:val="Loendilik"/>
        <w:numPr>
          <w:ilvl w:val="0"/>
          <w:numId w:val="1"/>
        </w:numPr>
        <w:spacing w:after="0" w:line="276" w:lineRule="auto"/>
      </w:pPr>
      <w:r>
        <w:t>hindab informatsiooni usaldusväärsust tervise, ohutuse ja turvalisusega seotud otsuste tegemiseks;</w:t>
      </w:r>
    </w:p>
    <w:p w:rsidR="002D4324" w:rsidRDefault="002D4324" w:rsidP="002D4324">
      <w:pPr>
        <w:pStyle w:val="Loendilik"/>
        <w:numPr>
          <w:ilvl w:val="0"/>
          <w:numId w:val="1"/>
        </w:numPr>
        <w:spacing w:after="0" w:line="276" w:lineRule="auto"/>
      </w:pPr>
      <w:r>
        <w:t>teab, kuidas oma tervist edendada, ohutult ja turvaliselt käituda;</w:t>
      </w:r>
    </w:p>
    <w:p w:rsidR="002D4324" w:rsidRDefault="002D4324" w:rsidP="002D4324">
      <w:pPr>
        <w:pStyle w:val="Loendilik"/>
        <w:numPr>
          <w:ilvl w:val="0"/>
          <w:numId w:val="1"/>
        </w:numPr>
        <w:spacing w:after="0" w:line="276" w:lineRule="auto"/>
      </w:pPr>
      <w:r>
        <w:t>teab enamlevinud haigusi, vigastuste ja surma põhjuseid, nende riskitegureid ning ennetamise võimalusi;</w:t>
      </w:r>
    </w:p>
    <w:p w:rsidR="002D4324" w:rsidRDefault="002D4324" w:rsidP="002D4324">
      <w:pPr>
        <w:pStyle w:val="Loendilik"/>
        <w:numPr>
          <w:ilvl w:val="0"/>
          <w:numId w:val="1"/>
        </w:numPr>
        <w:spacing w:after="0" w:line="276" w:lineRule="auto"/>
      </w:pPr>
      <w:r>
        <w:t>märkab ja hindab tegureid, mis toetavad tervist ja heaolu;</w:t>
      </w:r>
    </w:p>
    <w:p w:rsidR="002D4324" w:rsidRDefault="002D4324" w:rsidP="002D4324">
      <w:pPr>
        <w:pStyle w:val="Loendilik"/>
        <w:numPr>
          <w:ilvl w:val="0"/>
          <w:numId w:val="1"/>
        </w:numPr>
        <w:spacing w:after="0" w:line="276" w:lineRule="auto"/>
      </w:pPr>
      <w:r>
        <w:t>käitub enda ja teiste elu ning tervist säästvalt, ohte ennetavalt;</w:t>
      </w:r>
    </w:p>
    <w:p w:rsidR="002D4324" w:rsidRDefault="002D4324" w:rsidP="002D4324">
      <w:pPr>
        <w:pStyle w:val="Loendilik"/>
        <w:numPr>
          <w:ilvl w:val="0"/>
          <w:numId w:val="1"/>
        </w:numPr>
        <w:spacing w:after="0" w:line="276" w:lineRule="auto"/>
      </w:pPr>
      <w:r>
        <w:t xml:space="preserve">lahendab tervise, ohutuse ja turvalisusega seotud probleemolukordi erinevatest rollidest lähtuvalt; </w:t>
      </w:r>
    </w:p>
    <w:p w:rsidR="002D4324" w:rsidRDefault="002D4324" w:rsidP="002D4324">
      <w:pPr>
        <w:pStyle w:val="Loendilik"/>
        <w:numPr>
          <w:ilvl w:val="0"/>
          <w:numId w:val="1"/>
        </w:numPr>
        <w:spacing w:after="0" w:line="276" w:lineRule="auto"/>
      </w:pPr>
      <w:r>
        <w:t>argumenteerib tervise-, ohutuse ja turvalisusega seotud teemadel isiklikul, kohalikul, riiklikul ja rahvusvahelisel tasandil;</w:t>
      </w:r>
    </w:p>
    <w:p w:rsidR="002D4324" w:rsidRDefault="002D4324" w:rsidP="002D4324">
      <w:pPr>
        <w:pStyle w:val="Loendilik"/>
        <w:numPr>
          <w:ilvl w:val="0"/>
          <w:numId w:val="1"/>
        </w:numPr>
        <w:spacing w:after="0" w:line="276" w:lineRule="auto"/>
      </w:pPr>
      <w:r>
        <w:t>hindab keskkonna ja erinevate olukordade riske (ohtlik-ohutu, põhjus-tagajärg);</w:t>
      </w:r>
    </w:p>
    <w:p w:rsidR="002D4324" w:rsidRDefault="002D4324" w:rsidP="002D4324">
      <w:pPr>
        <w:pStyle w:val="Loendilik"/>
        <w:numPr>
          <w:ilvl w:val="0"/>
          <w:numId w:val="1"/>
        </w:numPr>
        <w:spacing w:after="0" w:line="276" w:lineRule="auto"/>
      </w:pPr>
      <w:r>
        <w:t>analüüsib tervise tegureid, ohutuse ja turvalisusega seotud olukordi ja käitumist, hindab selle tagajärgi;</w:t>
      </w:r>
    </w:p>
    <w:p w:rsidR="002D4324" w:rsidRDefault="002D4324" w:rsidP="002D4324">
      <w:pPr>
        <w:pStyle w:val="Loendilik"/>
        <w:numPr>
          <w:ilvl w:val="0"/>
          <w:numId w:val="1"/>
        </w:numPr>
        <w:spacing w:after="0" w:line="276" w:lineRule="auto"/>
      </w:pPr>
      <w:r>
        <w:t>väärtustab ja kujundab tervist, ohutust ning turvalisust toetavat keskkonda ja käitub vastutustundliku kodanikuna;</w:t>
      </w:r>
    </w:p>
    <w:p w:rsidR="002D4324" w:rsidRDefault="002D4324" w:rsidP="002D4324">
      <w:pPr>
        <w:pStyle w:val="Loendilik"/>
        <w:numPr>
          <w:ilvl w:val="0"/>
          <w:numId w:val="1"/>
        </w:numPr>
        <w:spacing w:after="0" w:line="276" w:lineRule="auto"/>
      </w:pPr>
      <w:r>
        <w:t>hindab kriitiliselt sotsiaalseid norme ja keskkonda ning vajadusel teeb ettepanekuid nende muutmiseks.</w:t>
      </w:r>
    </w:p>
    <w:p w:rsidR="002D4324" w:rsidRDefault="002D4324" w:rsidP="002D4324">
      <w:pPr>
        <w:contextualSpacing/>
        <w:rPr>
          <w:b/>
        </w:rPr>
      </w:pPr>
    </w:p>
    <w:p w:rsidR="002D4324" w:rsidRDefault="002D4324" w:rsidP="002D4324">
      <w:pPr>
        <w:ind w:right="141"/>
        <w:jc w:val="both"/>
        <w:rPr>
          <w:rFonts w:cs="Calibri"/>
        </w:rPr>
      </w:pPr>
      <w:proofErr w:type="spellStart"/>
      <w:r>
        <w:rPr>
          <w:rFonts w:cs="Calibri"/>
          <w:b/>
        </w:rPr>
        <w:t>Lõiming</w:t>
      </w:r>
      <w:proofErr w:type="spellEnd"/>
      <w:r>
        <w:rPr>
          <w:rFonts w:cs="Calibri"/>
        </w:rPr>
        <w:t xml:space="preserve"> </w:t>
      </w:r>
    </w:p>
    <w:p w:rsidR="002D4324" w:rsidRDefault="002D4324" w:rsidP="002D4324">
      <w:pPr>
        <w:pStyle w:val="Loendilik"/>
        <w:numPr>
          <w:ilvl w:val="0"/>
          <w:numId w:val="1"/>
        </w:numPr>
        <w:spacing w:line="276" w:lineRule="auto"/>
      </w:pPr>
      <w:r>
        <w:t>Kunst: loovtööd - oma ideele sobivate väljendusvahendite valimine</w:t>
      </w:r>
      <w:r w:rsidRPr="00EF0C50">
        <w:t xml:space="preserve"> (nt joonistus, maal, kollaaž, ruumiline objekt, digitaalne p</w:t>
      </w:r>
      <w:r>
        <w:t xml:space="preserve">ilt, video, tegevuskunst jne); </w:t>
      </w:r>
      <w:r w:rsidRPr="00EF0C50">
        <w:t>töö esitlemine, analüüs ja tõlgendamine ning oma valikute põhjendamine.</w:t>
      </w:r>
    </w:p>
    <w:p w:rsidR="002D4324" w:rsidRDefault="002D4324" w:rsidP="002D4324">
      <w:pPr>
        <w:pStyle w:val="Loendilik"/>
        <w:numPr>
          <w:ilvl w:val="0"/>
          <w:numId w:val="1"/>
        </w:numPr>
        <w:spacing w:line="276" w:lineRule="auto"/>
      </w:pPr>
      <w:r>
        <w:t xml:space="preserve">Uurimistöö alused: </w:t>
      </w:r>
      <w:proofErr w:type="spellStart"/>
      <w:r>
        <w:t>a</w:t>
      </w:r>
      <w:r w:rsidRPr="00EF0C50">
        <w:t>ndmekogumismeetodid</w:t>
      </w:r>
      <w:proofErr w:type="spellEnd"/>
      <w:r w:rsidRPr="00EF0C50">
        <w:t xml:space="preserve"> (vaatlus, eksperiment, mõõtmine, intervjuu, ankeetküsitlus, päevikumeetod, hinnanguskaala jne). Andmetöötlusmeetodid (keskmiste </w:t>
      </w:r>
      <w:r w:rsidRPr="00EF0C50">
        <w:lastRenderedPageBreak/>
        <w:t>arvutamine, korrelatsioon jne). Analüüsimeetodid (võrdlemine, reastamine, analüüs, süntees, üldistamine).</w:t>
      </w:r>
    </w:p>
    <w:p w:rsidR="002D4324" w:rsidRDefault="002D4324" w:rsidP="002D4324">
      <w:pPr>
        <w:pStyle w:val="Loendilik"/>
        <w:numPr>
          <w:ilvl w:val="0"/>
          <w:numId w:val="1"/>
        </w:numPr>
        <w:spacing w:line="276" w:lineRule="auto"/>
      </w:pPr>
      <w:r>
        <w:t>Matemaatika: andmete töötlemine, tõlgendamine; tabelite, skeemide ja jooniste koostamine.</w:t>
      </w:r>
    </w:p>
    <w:p w:rsidR="002D4324" w:rsidRDefault="002D4324" w:rsidP="002D4324">
      <w:pPr>
        <w:contextualSpacing/>
      </w:pPr>
    </w:p>
    <w:p w:rsidR="002D4324" w:rsidRDefault="002D4324" w:rsidP="002D4324">
      <w:pPr>
        <w:contextualSpacing/>
        <w:rPr>
          <w:b/>
        </w:rPr>
      </w:pPr>
      <w:r>
        <w:rPr>
          <w:b/>
        </w:rPr>
        <w:t>Hindamine/</w:t>
      </w:r>
      <w:r>
        <w:rPr>
          <w:rFonts w:cstheme="minorHAnsi"/>
          <w:b/>
        </w:rPr>
        <w:t>tagasiside andmine</w:t>
      </w:r>
    </w:p>
    <w:p w:rsidR="002D4324" w:rsidRDefault="002D4324" w:rsidP="002D4324">
      <w:pPr>
        <w:pStyle w:val="Loendilik"/>
        <w:numPr>
          <w:ilvl w:val="0"/>
          <w:numId w:val="1"/>
        </w:numPr>
        <w:spacing w:after="0" w:line="276" w:lineRule="auto"/>
        <w:ind w:right="142"/>
        <w:jc w:val="both"/>
        <w:rPr>
          <w:rFonts w:cs="Calibri"/>
        </w:rPr>
      </w:pPr>
      <w:r>
        <w:rPr>
          <w:rFonts w:cs="Calibri"/>
        </w:rPr>
        <w:t>Õpetaja hindab õpilaste oskust leida kampaaniatest üles erinevad komponendid, suunates õpilasi arutluste kaudu märkama olulist.</w:t>
      </w:r>
    </w:p>
    <w:p w:rsidR="002D4324" w:rsidRDefault="002D4324" w:rsidP="002D4324">
      <w:pPr>
        <w:pStyle w:val="Loendilik"/>
        <w:numPr>
          <w:ilvl w:val="0"/>
          <w:numId w:val="1"/>
        </w:numPr>
        <w:spacing w:after="200" w:line="276" w:lineRule="auto"/>
        <w:ind w:right="141"/>
        <w:jc w:val="both"/>
        <w:rPr>
          <w:rFonts w:cs="Calibri"/>
        </w:rPr>
      </w:pPr>
      <w:r>
        <w:rPr>
          <w:rFonts w:cs="Calibri"/>
        </w:rPr>
        <w:t xml:space="preserve">Õpilased hindavad klassikaaslaste loodud kampaaniad järgmistel alustel: tõhusus (saavutab eesmärgi), mõistetavus, </w:t>
      </w:r>
      <w:proofErr w:type="spellStart"/>
      <w:r>
        <w:rPr>
          <w:rFonts w:cs="Calibri"/>
        </w:rPr>
        <w:t>noortepärasus</w:t>
      </w:r>
      <w:proofErr w:type="spellEnd"/>
      <w:r>
        <w:rPr>
          <w:rFonts w:cs="Calibri"/>
        </w:rPr>
        <w:t>, huvitav ülesehitus/teostus jm ning valivad välja klassi kõige enam punkte saanud kampaaniad (vastavalt õpilaste arvule klassis kuni 3).</w:t>
      </w:r>
    </w:p>
    <w:p w:rsidR="002D4324" w:rsidRPr="006929CB" w:rsidRDefault="002D4324" w:rsidP="002D4324">
      <w:pPr>
        <w:pStyle w:val="Loendilik"/>
        <w:numPr>
          <w:ilvl w:val="0"/>
          <w:numId w:val="1"/>
        </w:numPr>
        <w:spacing w:after="200" w:line="276" w:lineRule="auto"/>
        <w:ind w:right="141"/>
        <w:jc w:val="both"/>
        <w:rPr>
          <w:rFonts w:cs="Calibri"/>
        </w:rPr>
      </w:pPr>
      <w:r>
        <w:rPr>
          <w:rFonts w:cs="Calibri"/>
        </w:rPr>
        <w:t>Õpilased annavad hinnangu rühmakaaslaste panusele kampaania loomis</w:t>
      </w:r>
      <w:r w:rsidR="006929CB">
        <w:rPr>
          <w:rFonts w:cs="Calibri"/>
        </w:rPr>
        <w:t>es või läbiviimises osalemisele.</w:t>
      </w:r>
      <w:bookmarkStart w:id="1" w:name="_GoBack"/>
      <w:bookmarkEnd w:id="1"/>
    </w:p>
    <w:sectPr w:rsidR="002D4324" w:rsidRPr="006929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0496F"/>
    <w:multiLevelType w:val="hybridMultilevel"/>
    <w:tmpl w:val="2918CBA2"/>
    <w:lvl w:ilvl="0" w:tplc="7FFFFFFF">
      <w:start w:val="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EE83C25"/>
    <w:multiLevelType w:val="hybridMultilevel"/>
    <w:tmpl w:val="586699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F660C9A"/>
    <w:multiLevelType w:val="multilevel"/>
    <w:tmpl w:val="537E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5A06EC"/>
    <w:multiLevelType w:val="multilevel"/>
    <w:tmpl w:val="55A864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E72B50"/>
    <w:multiLevelType w:val="multilevel"/>
    <w:tmpl w:val="7B76E5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0" w:hanging="360"/>
      </w:pPr>
      <w:rPr>
        <w:rFonts w:asciiTheme="minorHAnsi" w:hAnsiTheme="minorHAnsi" w:cstheme="minorHAnsi" w:hint="default"/>
        <w:i w:val="0"/>
        <w:color w:val="auto"/>
        <w:sz w:val="22"/>
        <w:szCs w:val="22"/>
      </w:rPr>
    </w:lvl>
    <w:lvl w:ilvl="2">
      <w:start w:val="1"/>
      <w:numFmt w:val="decimal"/>
      <w:lvlText w:val="%3)"/>
      <w:lvlJc w:val="left"/>
      <w:pPr>
        <w:ind w:left="2160" w:hanging="360"/>
      </w:pPr>
      <w:rPr>
        <w:rFonts w:ascii="Calibri" w:hAnsi="Calibri" w:cs="Calibri" w:hint="default"/>
        <w:sz w:val="22"/>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C460E7"/>
    <w:multiLevelType w:val="multilevel"/>
    <w:tmpl w:val="768E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324"/>
    <w:rsid w:val="001070B2"/>
    <w:rsid w:val="002D4324"/>
    <w:rsid w:val="006929C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D8832"/>
  <w15:chartTrackingRefBased/>
  <w15:docId w15:val="{513DDEAD-8D03-4945-832C-A9BF98C6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2D4324"/>
    <w:pPr>
      <w:spacing w:after="160" w:line="259" w:lineRule="auto"/>
    </w:pPr>
  </w:style>
  <w:style w:type="paragraph" w:styleId="Pealkiri2">
    <w:name w:val="heading 2"/>
    <w:basedOn w:val="Normaallaad"/>
    <w:next w:val="Normaallaad"/>
    <w:link w:val="Pealkiri2Mrk"/>
    <w:qFormat/>
    <w:rsid w:val="002D4324"/>
    <w:pPr>
      <w:keepNext/>
      <w:keepLines/>
      <w:spacing w:before="40" w:after="0"/>
      <w:outlineLvl w:val="1"/>
    </w:pPr>
    <w:rPr>
      <w:rFonts w:asciiTheme="majorHAnsi" w:eastAsiaTheme="majorEastAsia" w:hAnsiTheme="majorHAnsi" w:cstheme="majorBidi"/>
      <w:color w:val="2E74B5"/>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2D4324"/>
    <w:rPr>
      <w:rFonts w:asciiTheme="majorHAnsi" w:eastAsiaTheme="majorEastAsia" w:hAnsiTheme="majorHAnsi" w:cstheme="majorBidi"/>
      <w:color w:val="2E74B5"/>
      <w:sz w:val="26"/>
      <w:szCs w:val="26"/>
    </w:rPr>
  </w:style>
  <w:style w:type="character" w:styleId="Hperlink">
    <w:name w:val="Hyperlink"/>
    <w:basedOn w:val="Liguvaikefont"/>
    <w:uiPriority w:val="99"/>
    <w:rsid w:val="002D4324"/>
    <w:rPr>
      <w:color w:val="0563C1"/>
      <w:u w:val="single"/>
    </w:rPr>
  </w:style>
  <w:style w:type="table" w:styleId="Kontuurtabel">
    <w:name w:val="Table Grid"/>
    <w:basedOn w:val="Normaaltabel"/>
    <w:rsid w:val="002D4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2D4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882</Words>
  <Characters>5122</Characters>
  <Application>Microsoft Office Word</Application>
  <DocSecurity>0</DocSecurity>
  <Lines>42</Lines>
  <Paragraphs>11</Paragraphs>
  <ScaleCrop>false</ScaleCrop>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Reesi Efert</dc:creator>
  <cp:keywords/>
  <dc:description/>
  <cp:lastModifiedBy>Reesi Efert</cp:lastModifiedBy>
  <cp:revision>2</cp:revision>
  <dcterms:created xsi:type="dcterms:W3CDTF">2017-11-29T07:33:00Z</dcterms:created>
  <dcterms:modified xsi:type="dcterms:W3CDTF">2017-11-29T08:18:00Z</dcterms:modified>
</cp:coreProperties>
</file>